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5735" w:type="dxa"/>
        <w:tblInd w:w="-856" w:type="dxa"/>
        <w:tblLook w:val="0480" w:firstRow="0" w:lastRow="0" w:firstColumn="1" w:lastColumn="0" w:noHBand="0" w:noVBand="1"/>
      </w:tblPr>
      <w:tblGrid>
        <w:gridCol w:w="2223"/>
        <w:gridCol w:w="13512"/>
      </w:tblGrid>
      <w:tr w:rsidR="00265DFF" w:rsidRPr="00AA1F35" w:rsidTr="004E1D5D">
        <w:trPr>
          <w:trHeight w:val="1001"/>
        </w:trPr>
        <w:tc>
          <w:tcPr>
            <w:tcW w:w="2223" w:type="dxa"/>
            <w:tcBorders>
              <w:right w:val="double" w:sz="4" w:space="0" w:color="auto"/>
            </w:tcBorders>
            <w:shd w:val="clear" w:color="auto" w:fill="E7E6E6" w:themeFill="background2"/>
          </w:tcPr>
          <w:p w:rsidR="00265DFF" w:rsidRPr="00EF6E84" w:rsidRDefault="00265DFF" w:rsidP="00D322D7">
            <w:pPr>
              <w:rPr>
                <w:rFonts w:ascii="Cambria" w:hAnsi="Cambria"/>
                <w:b/>
                <w:sz w:val="24"/>
                <w:szCs w:val="24"/>
                <w:lang w:val="en-GB"/>
              </w:rPr>
            </w:pPr>
            <w:r w:rsidRPr="00EF6E84">
              <w:rPr>
                <w:rFonts w:ascii="Cambria" w:hAnsi="Cambria"/>
                <w:b/>
                <w:sz w:val="24"/>
                <w:szCs w:val="24"/>
                <w:lang w:val="en-GB"/>
              </w:rPr>
              <w:t>Participants</w:t>
            </w:r>
          </w:p>
        </w:tc>
        <w:tc>
          <w:tcPr>
            <w:tcW w:w="13512" w:type="dxa"/>
            <w:tcBorders>
              <w:left w:val="double" w:sz="4" w:space="0" w:color="auto"/>
            </w:tcBorders>
          </w:tcPr>
          <w:p w:rsidR="00265DFF" w:rsidRPr="007312C4" w:rsidRDefault="00265DFF" w:rsidP="00D61753">
            <w:pPr>
              <w:jc w:val="both"/>
              <w:rPr>
                <w:rFonts w:ascii="Cambria" w:hAnsi="Cambria"/>
                <w:b/>
                <w:sz w:val="24"/>
                <w:szCs w:val="24"/>
                <w:lang w:val="en-GB"/>
              </w:rPr>
            </w:pPr>
            <w:r w:rsidRPr="007312C4">
              <w:rPr>
                <w:rFonts w:ascii="Cambria" w:hAnsi="Cambria"/>
                <w:b/>
                <w:sz w:val="24"/>
                <w:szCs w:val="24"/>
                <w:lang w:val="en-GB"/>
              </w:rPr>
              <w:t xml:space="preserve">Turkish </w:t>
            </w:r>
            <w:bookmarkStart w:id="0" w:name="_GoBack"/>
            <w:bookmarkEnd w:id="0"/>
            <w:r w:rsidRPr="007312C4">
              <w:rPr>
                <w:rFonts w:ascii="Cambria" w:hAnsi="Cambria"/>
                <w:b/>
                <w:sz w:val="24"/>
                <w:szCs w:val="24"/>
                <w:lang w:val="en-GB"/>
              </w:rPr>
              <w:t>side:</w:t>
            </w:r>
          </w:p>
          <w:p w:rsidR="00265DFF" w:rsidRPr="007312C4" w:rsidRDefault="00265DFF" w:rsidP="007312C4">
            <w:pPr>
              <w:jc w:val="both"/>
              <w:rPr>
                <w:rFonts w:ascii="Cambria" w:hAnsi="Cambria"/>
                <w:sz w:val="24"/>
                <w:szCs w:val="24"/>
                <w:lang w:val="en-GB"/>
              </w:rPr>
            </w:pPr>
            <w:r>
              <w:rPr>
                <w:rFonts w:ascii="Cambria" w:hAnsi="Cambria"/>
                <w:sz w:val="24"/>
                <w:szCs w:val="24"/>
                <w:lang w:val="en-GB"/>
              </w:rPr>
              <w:t xml:space="preserve">- </w:t>
            </w:r>
            <w:r w:rsidRPr="007312C4">
              <w:rPr>
                <w:rFonts w:ascii="Cambria" w:hAnsi="Cambria"/>
                <w:sz w:val="24"/>
                <w:szCs w:val="24"/>
                <w:lang w:val="en-GB"/>
              </w:rPr>
              <w:t xml:space="preserve">H. </w:t>
            </w:r>
            <w:proofErr w:type="spellStart"/>
            <w:r w:rsidRPr="007312C4">
              <w:rPr>
                <w:rFonts w:ascii="Cambria" w:hAnsi="Cambria"/>
                <w:sz w:val="24"/>
                <w:szCs w:val="24"/>
                <w:lang w:val="en-GB"/>
              </w:rPr>
              <w:t>Halil</w:t>
            </w:r>
            <w:proofErr w:type="spellEnd"/>
            <w:r w:rsidRPr="007312C4">
              <w:rPr>
                <w:rFonts w:ascii="Cambria" w:hAnsi="Cambria"/>
                <w:sz w:val="24"/>
                <w:szCs w:val="24"/>
                <w:lang w:val="en-GB"/>
              </w:rPr>
              <w:t xml:space="preserve"> AFŞARATA</w:t>
            </w:r>
            <w:r>
              <w:rPr>
                <w:rFonts w:ascii="Cambria" w:hAnsi="Cambria"/>
                <w:sz w:val="24"/>
                <w:szCs w:val="24"/>
                <w:lang w:val="en-GB"/>
              </w:rPr>
              <w:t xml:space="preserve"> </w:t>
            </w:r>
          </w:p>
          <w:p w:rsidR="00265DFF" w:rsidRDefault="00265DFF" w:rsidP="00D61753">
            <w:pPr>
              <w:jc w:val="both"/>
              <w:rPr>
                <w:rFonts w:ascii="Cambria" w:hAnsi="Cambria"/>
                <w:sz w:val="24"/>
                <w:szCs w:val="24"/>
                <w:lang w:val="en-GB"/>
              </w:rPr>
            </w:pPr>
            <w:r>
              <w:rPr>
                <w:rFonts w:ascii="Cambria" w:hAnsi="Cambria"/>
                <w:sz w:val="24"/>
                <w:szCs w:val="24"/>
                <w:lang w:val="en-GB"/>
              </w:rPr>
              <w:t xml:space="preserve">- </w:t>
            </w:r>
            <w:proofErr w:type="spellStart"/>
            <w:r>
              <w:rPr>
                <w:rFonts w:ascii="Cambria" w:hAnsi="Cambria"/>
                <w:sz w:val="24"/>
                <w:szCs w:val="24"/>
                <w:lang w:val="en-GB"/>
              </w:rPr>
              <w:t>Çiğdem</w:t>
            </w:r>
            <w:proofErr w:type="spellEnd"/>
            <w:r>
              <w:rPr>
                <w:rFonts w:ascii="Cambria" w:hAnsi="Cambria"/>
                <w:sz w:val="24"/>
                <w:szCs w:val="24"/>
                <w:lang w:val="en-GB"/>
              </w:rPr>
              <w:t xml:space="preserve"> TETİK BİÇER</w:t>
            </w:r>
          </w:p>
          <w:p w:rsidR="00265DFF" w:rsidRDefault="00265DFF" w:rsidP="00D61753">
            <w:pPr>
              <w:jc w:val="both"/>
              <w:rPr>
                <w:rFonts w:ascii="Cambria" w:hAnsi="Cambria"/>
                <w:sz w:val="24"/>
                <w:szCs w:val="24"/>
                <w:lang w:val="en-GB"/>
              </w:rPr>
            </w:pPr>
            <w:r>
              <w:rPr>
                <w:rFonts w:ascii="Cambria" w:hAnsi="Cambria"/>
                <w:sz w:val="24"/>
                <w:szCs w:val="24"/>
                <w:lang w:val="en-GB"/>
              </w:rPr>
              <w:t>- Murat BEYHAN</w:t>
            </w:r>
          </w:p>
          <w:p w:rsidR="00265DFF" w:rsidRDefault="00265DFF" w:rsidP="00D61753">
            <w:pPr>
              <w:jc w:val="both"/>
              <w:rPr>
                <w:rFonts w:ascii="Cambria" w:hAnsi="Cambria"/>
                <w:sz w:val="24"/>
                <w:szCs w:val="24"/>
                <w:lang w:val="en-GB"/>
              </w:rPr>
            </w:pPr>
            <w:r>
              <w:rPr>
                <w:rFonts w:ascii="Cambria" w:hAnsi="Cambria"/>
                <w:sz w:val="24"/>
                <w:szCs w:val="24"/>
                <w:lang w:val="en-GB"/>
              </w:rPr>
              <w:t xml:space="preserve">- </w:t>
            </w:r>
            <w:proofErr w:type="spellStart"/>
            <w:r>
              <w:rPr>
                <w:rFonts w:ascii="Cambria" w:hAnsi="Cambria"/>
                <w:sz w:val="24"/>
                <w:szCs w:val="24"/>
                <w:lang w:val="en-GB"/>
              </w:rPr>
              <w:t>Sezin</w:t>
            </w:r>
            <w:proofErr w:type="spellEnd"/>
            <w:r>
              <w:rPr>
                <w:rFonts w:ascii="Cambria" w:hAnsi="Cambria"/>
                <w:sz w:val="24"/>
                <w:szCs w:val="24"/>
                <w:lang w:val="en-GB"/>
              </w:rPr>
              <w:t xml:space="preserve"> TUNA</w:t>
            </w:r>
          </w:p>
          <w:p w:rsidR="00265DFF" w:rsidRDefault="00265DFF" w:rsidP="00D61753">
            <w:pPr>
              <w:jc w:val="both"/>
              <w:rPr>
                <w:rFonts w:ascii="Cambria" w:hAnsi="Cambria"/>
                <w:sz w:val="24"/>
                <w:szCs w:val="24"/>
                <w:lang w:val="en-GB"/>
              </w:rPr>
            </w:pPr>
            <w:r>
              <w:rPr>
                <w:rFonts w:ascii="Cambria" w:hAnsi="Cambria"/>
                <w:sz w:val="24"/>
                <w:szCs w:val="24"/>
                <w:lang w:val="en-GB"/>
              </w:rPr>
              <w:t xml:space="preserve">- </w:t>
            </w:r>
            <w:proofErr w:type="spellStart"/>
            <w:r>
              <w:rPr>
                <w:rFonts w:ascii="Cambria" w:hAnsi="Cambria"/>
                <w:sz w:val="24"/>
                <w:szCs w:val="24"/>
                <w:lang w:val="en-GB"/>
              </w:rPr>
              <w:t>Makbule</w:t>
            </w:r>
            <w:proofErr w:type="spellEnd"/>
            <w:r>
              <w:rPr>
                <w:rFonts w:ascii="Cambria" w:hAnsi="Cambria"/>
                <w:sz w:val="24"/>
                <w:szCs w:val="24"/>
                <w:lang w:val="en-GB"/>
              </w:rPr>
              <w:t xml:space="preserve"> YALIN</w:t>
            </w:r>
          </w:p>
          <w:p w:rsidR="00265DFF" w:rsidRDefault="00265DFF" w:rsidP="00D61753">
            <w:pPr>
              <w:jc w:val="both"/>
              <w:rPr>
                <w:rFonts w:ascii="Cambria" w:hAnsi="Cambria"/>
                <w:sz w:val="24"/>
                <w:szCs w:val="24"/>
                <w:lang w:val="en-GB"/>
              </w:rPr>
            </w:pPr>
            <w:r>
              <w:rPr>
                <w:rFonts w:ascii="Cambria" w:hAnsi="Cambria"/>
                <w:sz w:val="24"/>
                <w:szCs w:val="24"/>
                <w:lang w:val="en-GB"/>
              </w:rPr>
              <w:t xml:space="preserve">- </w:t>
            </w:r>
            <w:proofErr w:type="spellStart"/>
            <w:r>
              <w:rPr>
                <w:rFonts w:ascii="Cambria" w:hAnsi="Cambria"/>
                <w:sz w:val="24"/>
                <w:szCs w:val="24"/>
                <w:lang w:val="en-GB"/>
              </w:rPr>
              <w:t>Fikret</w:t>
            </w:r>
            <w:proofErr w:type="spellEnd"/>
            <w:r>
              <w:rPr>
                <w:rFonts w:ascii="Cambria" w:hAnsi="Cambria"/>
                <w:sz w:val="24"/>
                <w:szCs w:val="24"/>
                <w:lang w:val="en-GB"/>
              </w:rPr>
              <w:t xml:space="preserve"> AZILI</w:t>
            </w:r>
          </w:p>
          <w:p w:rsidR="00265DFF" w:rsidRDefault="00265DFF" w:rsidP="00D61753">
            <w:pPr>
              <w:jc w:val="both"/>
              <w:rPr>
                <w:rFonts w:ascii="Cambria" w:hAnsi="Cambria"/>
                <w:sz w:val="24"/>
                <w:szCs w:val="24"/>
                <w:lang w:val="en-GB"/>
              </w:rPr>
            </w:pPr>
            <w:r>
              <w:rPr>
                <w:rFonts w:ascii="Cambria" w:hAnsi="Cambria"/>
                <w:sz w:val="24"/>
                <w:szCs w:val="24"/>
                <w:lang w:val="en-GB"/>
              </w:rPr>
              <w:t xml:space="preserve">- </w:t>
            </w:r>
            <w:proofErr w:type="spellStart"/>
            <w:r>
              <w:rPr>
                <w:rFonts w:ascii="Cambria" w:hAnsi="Cambria"/>
                <w:sz w:val="24"/>
                <w:szCs w:val="24"/>
                <w:lang w:val="en-GB"/>
              </w:rPr>
              <w:t>Tezcan</w:t>
            </w:r>
            <w:proofErr w:type="spellEnd"/>
            <w:r>
              <w:rPr>
                <w:rFonts w:ascii="Cambria" w:hAnsi="Cambria"/>
                <w:sz w:val="24"/>
                <w:szCs w:val="24"/>
                <w:lang w:val="en-GB"/>
              </w:rPr>
              <w:t xml:space="preserve"> BUCAN</w:t>
            </w:r>
          </w:p>
          <w:p w:rsidR="00265DFF" w:rsidRPr="007312C4" w:rsidRDefault="00265DFF" w:rsidP="0012466D">
            <w:pPr>
              <w:jc w:val="both"/>
              <w:rPr>
                <w:rFonts w:ascii="Cambria" w:hAnsi="Cambria"/>
                <w:b/>
                <w:sz w:val="24"/>
                <w:szCs w:val="24"/>
                <w:lang w:val="en-GB"/>
              </w:rPr>
            </w:pPr>
          </w:p>
        </w:tc>
      </w:tr>
      <w:tr w:rsidR="00576903" w:rsidRPr="007978BB" w:rsidTr="004E1D5D">
        <w:trPr>
          <w:trHeight w:val="983"/>
        </w:trPr>
        <w:tc>
          <w:tcPr>
            <w:tcW w:w="2223" w:type="dxa"/>
            <w:tcBorders>
              <w:bottom w:val="double" w:sz="4" w:space="0" w:color="auto"/>
              <w:right w:val="double" w:sz="4" w:space="0" w:color="auto"/>
            </w:tcBorders>
            <w:shd w:val="clear" w:color="auto" w:fill="E7E6E6" w:themeFill="background2"/>
          </w:tcPr>
          <w:p w:rsidR="004E1D5D" w:rsidRPr="004E1D5D" w:rsidRDefault="004E1D5D" w:rsidP="004E1D5D">
            <w:pPr>
              <w:rPr>
                <w:rFonts w:ascii="Cambria" w:hAnsi="Cambria"/>
                <w:b/>
                <w:sz w:val="24"/>
                <w:szCs w:val="24"/>
                <w:lang w:val="en-GB"/>
              </w:rPr>
            </w:pPr>
            <w:r w:rsidRPr="004E1D5D">
              <w:rPr>
                <w:rFonts w:ascii="Cambria" w:hAnsi="Cambria"/>
                <w:b/>
                <w:sz w:val="24"/>
                <w:szCs w:val="24"/>
                <w:lang w:val="en-GB"/>
              </w:rPr>
              <w:t>Inputs</w:t>
            </w:r>
            <w:r>
              <w:rPr>
                <w:rFonts w:ascii="Cambria" w:hAnsi="Cambria"/>
                <w:b/>
                <w:sz w:val="24"/>
                <w:szCs w:val="24"/>
                <w:lang w:val="en-GB"/>
              </w:rPr>
              <w:t>/Comments</w:t>
            </w:r>
          </w:p>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4E1D5D" w:rsidP="00B854F0">
            <w:pPr>
              <w:jc w:val="both"/>
              <w:rPr>
                <w:rFonts w:ascii="Cambria" w:hAnsi="Cambria"/>
                <w:b/>
                <w:u w:val="single"/>
                <w:lang w:val="en-US"/>
              </w:rPr>
            </w:pPr>
            <w:r w:rsidRPr="004E1D5D">
              <w:rPr>
                <w:rFonts w:ascii="Cambria" w:hAnsi="Cambria"/>
                <w:b/>
                <w:u w:val="single"/>
                <w:lang w:val="en-US"/>
              </w:rPr>
              <w:t>Turk</w:t>
            </w:r>
            <w:r w:rsidR="00576903" w:rsidRPr="004E1D5D">
              <w:rPr>
                <w:rFonts w:ascii="Cambria" w:hAnsi="Cambria"/>
                <w:b/>
                <w:u w:val="single"/>
                <w:lang w:val="en-US"/>
              </w:rPr>
              <w:t>e</w:t>
            </w:r>
            <w:r w:rsidRPr="004E1D5D">
              <w:rPr>
                <w:rFonts w:ascii="Cambria" w:hAnsi="Cambria"/>
                <w:b/>
                <w:u w:val="single"/>
                <w:lang w:val="en-US"/>
              </w:rPr>
              <w:t>y</w:t>
            </w:r>
            <w:r w:rsidR="00576903" w:rsidRPr="004E1D5D">
              <w:rPr>
                <w:rFonts w:ascii="Cambria" w:hAnsi="Cambria"/>
                <w:b/>
                <w:u w:val="single"/>
                <w:lang w:val="en-US"/>
              </w:rPr>
              <w:t>’s Comments</w:t>
            </w:r>
          </w:p>
          <w:p w:rsidR="00576903" w:rsidRPr="004E1D5D" w:rsidRDefault="00576903" w:rsidP="00B854F0">
            <w:pPr>
              <w:jc w:val="both"/>
              <w:rPr>
                <w:rFonts w:ascii="Cambria" w:hAnsi="Cambria"/>
                <w:b/>
                <w:lang w:val="en-US"/>
              </w:rPr>
            </w:pPr>
          </w:p>
          <w:p w:rsidR="00576903" w:rsidRPr="004E1D5D" w:rsidRDefault="00576903" w:rsidP="00B854F0">
            <w:pPr>
              <w:jc w:val="both"/>
              <w:rPr>
                <w:rFonts w:ascii="Cambria" w:hAnsi="Cambria"/>
                <w:b/>
                <w:lang w:val="en-US"/>
              </w:rPr>
            </w:pPr>
            <w:r w:rsidRPr="004E1D5D">
              <w:rPr>
                <w:rFonts w:ascii="Cambria" w:hAnsi="Cambria"/>
                <w:b/>
                <w:lang w:val="en-US"/>
              </w:rPr>
              <w:t>1.</w:t>
            </w:r>
            <w:r w:rsidRPr="004E1D5D">
              <w:rPr>
                <w:rFonts w:ascii="Cambria" w:hAnsi="Cambria"/>
                <w:b/>
                <w:lang w:val="en-US"/>
              </w:rPr>
              <w:tab/>
              <w:t>Section A (Preamble):</w:t>
            </w:r>
          </w:p>
          <w:p w:rsidR="00576903" w:rsidRPr="004E1D5D" w:rsidRDefault="00576903" w:rsidP="00B854F0">
            <w:pPr>
              <w:jc w:val="both"/>
              <w:rPr>
                <w:rFonts w:ascii="Cambria" w:hAnsi="Cambria"/>
                <w:lang w:val="en-US"/>
              </w:rPr>
            </w:pPr>
            <w:r w:rsidRPr="004E1D5D">
              <w:rPr>
                <w:rFonts w:ascii="Cambria" w:hAnsi="Cambria"/>
                <w:lang w:val="en-US"/>
              </w:rPr>
              <w:t>To rephrase Preamble, more than enough in length, with shorter and clearer sentences, avoiding repetition of issues mentioned in other sections such as in Section C. Preamble needs to address, primarily, existing lacking, uncovered issues, underlining the importance of closing the gaps between legislation and implementation.</w:t>
            </w:r>
          </w:p>
          <w:p w:rsidR="00576903" w:rsidRPr="004E1D5D" w:rsidRDefault="00576903" w:rsidP="00B854F0">
            <w:pPr>
              <w:jc w:val="both"/>
              <w:rPr>
                <w:rFonts w:ascii="Cambria" w:hAnsi="Cambria"/>
                <w:lang w:val="en-US"/>
              </w:rPr>
            </w:pPr>
          </w:p>
          <w:p w:rsidR="00576903" w:rsidRPr="004E1D5D" w:rsidRDefault="00576903" w:rsidP="004E1D5D">
            <w:pPr>
              <w:autoSpaceDE w:val="0"/>
              <w:autoSpaceDN w:val="0"/>
              <w:adjustRightInd w:val="0"/>
              <w:jc w:val="both"/>
              <w:rPr>
                <w:rFonts w:ascii="Cambria" w:hAnsi="Cambria"/>
                <w:lang w:val="en-US"/>
              </w:rPr>
            </w:pPr>
            <w:r w:rsidRPr="004E1D5D">
              <w:rPr>
                <w:rFonts w:ascii="Cambria" w:hAnsi="Cambria"/>
                <w:b/>
                <w:lang w:val="en-US"/>
              </w:rPr>
              <w:t>Example;</w:t>
            </w:r>
            <w:r w:rsidRPr="004E1D5D">
              <w:rPr>
                <w:rFonts w:ascii="Cambria" w:hAnsi="Cambria"/>
                <w:lang w:val="en-US"/>
              </w:rPr>
              <w:t xml:space="preserve"> Turkey’s </w:t>
            </w:r>
            <w:r w:rsidR="004E1D5D">
              <w:rPr>
                <w:rFonts w:ascii="Cambria" w:hAnsi="Cambria"/>
                <w:lang w:val="en-US"/>
              </w:rPr>
              <w:t xml:space="preserve">National Disaster Management </w:t>
            </w:r>
            <w:r w:rsidRPr="004E1D5D">
              <w:rPr>
                <w:rFonts w:ascii="Cambria" w:hAnsi="Cambria"/>
                <w:lang w:val="en-US"/>
              </w:rPr>
              <w:t>Strate</w:t>
            </w:r>
            <w:r w:rsidR="004E1D5D">
              <w:rPr>
                <w:rFonts w:ascii="Cambria" w:hAnsi="Cambria"/>
                <w:lang w:val="en-US"/>
              </w:rPr>
              <w:t xml:space="preserve">gy paper; </w:t>
            </w:r>
            <w:r w:rsidRPr="004E1D5D">
              <w:rPr>
                <w:rFonts w:ascii="Cambria" w:hAnsi="Cambria"/>
                <w:lang w:val="en-US"/>
              </w:rPr>
              <w:t xml:space="preserve">will be prepared </w:t>
            </w:r>
            <w:proofErr w:type="gramStart"/>
            <w:r w:rsidRPr="004E1D5D">
              <w:rPr>
                <w:rFonts w:ascii="Cambria" w:hAnsi="Cambria"/>
                <w:lang w:val="en-US"/>
              </w:rPr>
              <w:t xml:space="preserve">in  </w:t>
            </w:r>
            <w:r w:rsidR="004E1D5D">
              <w:rPr>
                <w:rFonts w:ascii="Cambria" w:hAnsi="Cambria"/>
                <w:lang w:val="en-US"/>
              </w:rPr>
              <w:t>a</w:t>
            </w:r>
            <w:proofErr w:type="gramEnd"/>
            <w:r w:rsidR="004E1D5D">
              <w:rPr>
                <w:rFonts w:ascii="Cambria" w:hAnsi="Cambria"/>
                <w:lang w:val="en-US"/>
              </w:rPr>
              <w:t xml:space="preserve"> two </w:t>
            </w:r>
            <w:proofErr w:type="spellStart"/>
            <w:r w:rsidR="004E1D5D">
              <w:rPr>
                <w:rFonts w:ascii="Cambria" w:hAnsi="Cambria"/>
                <w:lang w:val="en-US"/>
              </w:rPr>
              <w:t>years t</w:t>
            </w:r>
            <w:r w:rsidRPr="004E1D5D">
              <w:rPr>
                <w:rFonts w:ascii="Cambria" w:hAnsi="Cambria"/>
                <w:lang w:val="en-US"/>
              </w:rPr>
              <w:t>ime</w:t>
            </w:r>
            <w:proofErr w:type="spellEnd"/>
            <w:r w:rsidRPr="004E1D5D">
              <w:rPr>
                <w:rFonts w:ascii="Cambria" w:hAnsi="Cambria"/>
                <w:lang w:val="en-US"/>
              </w:rPr>
              <w:t xml:space="preserve"> with an integrated  approach. It will cover all the phases and all the actors of the disaster management and identify the po</w:t>
            </w:r>
            <w:r w:rsidR="004E1D5D">
              <w:rPr>
                <w:rFonts w:ascii="Cambria" w:hAnsi="Cambria"/>
                <w:lang w:val="en-US"/>
              </w:rPr>
              <w:t xml:space="preserve">licies and actions that can be </w:t>
            </w:r>
            <w:r w:rsidR="004E1D5D" w:rsidRPr="004E1D5D">
              <w:rPr>
                <w:rFonts w:ascii="Cambria" w:hAnsi="Cambria"/>
                <w:lang w:val="en-US"/>
              </w:rPr>
              <w:t xml:space="preserve">implemented over the long </w:t>
            </w:r>
            <w:proofErr w:type="gramStart"/>
            <w:r w:rsidR="004E1D5D" w:rsidRPr="004E1D5D">
              <w:rPr>
                <w:rFonts w:ascii="Cambria" w:hAnsi="Cambria"/>
                <w:lang w:val="en-US"/>
              </w:rPr>
              <w:t xml:space="preserve">term  </w:t>
            </w:r>
            <w:r w:rsidRPr="004E1D5D">
              <w:rPr>
                <w:rFonts w:ascii="Cambria" w:hAnsi="Cambria"/>
                <w:lang w:val="en-US"/>
              </w:rPr>
              <w:t>to</w:t>
            </w:r>
            <w:proofErr w:type="gramEnd"/>
            <w:r w:rsidRPr="004E1D5D">
              <w:rPr>
                <w:rFonts w:ascii="Cambria" w:hAnsi="Cambria"/>
                <w:lang w:val="en-US"/>
              </w:rPr>
              <w:t xml:space="preserve"> reduce risk and future losses.  It will concentrate on the prevention and mitigation and w</w:t>
            </w:r>
            <w:r w:rsidR="004E1D5D">
              <w:rPr>
                <w:rFonts w:ascii="Cambria" w:hAnsi="Cambria"/>
                <w:lang w:val="en-US"/>
              </w:rPr>
              <w:t xml:space="preserve">ill be the guideline to manage </w:t>
            </w:r>
            <w:r w:rsidRPr="004E1D5D">
              <w:rPr>
                <w:rFonts w:ascii="Cambria" w:hAnsi="Cambria"/>
                <w:lang w:val="en-US"/>
              </w:rPr>
              <w:t xml:space="preserve">disaster and support </w:t>
            </w:r>
            <w:proofErr w:type="gramStart"/>
            <w:r w:rsidRPr="004E1D5D">
              <w:rPr>
                <w:rFonts w:ascii="Cambria" w:hAnsi="Cambria"/>
                <w:lang w:val="en-US"/>
              </w:rPr>
              <w:t>sustainable  devel</w:t>
            </w:r>
            <w:r w:rsidR="004E1D5D" w:rsidRPr="004E1D5D">
              <w:rPr>
                <w:rFonts w:ascii="Cambria" w:hAnsi="Cambria"/>
                <w:lang w:val="en-US"/>
              </w:rPr>
              <w:t>opment</w:t>
            </w:r>
            <w:proofErr w:type="gramEnd"/>
            <w:r w:rsidR="004E1D5D" w:rsidRPr="004E1D5D">
              <w:rPr>
                <w:rFonts w:ascii="Cambria" w:hAnsi="Cambria"/>
                <w:lang w:val="en-US"/>
              </w:rPr>
              <w:t xml:space="preserve">. It will target to build </w:t>
            </w:r>
            <w:r w:rsidRPr="004E1D5D">
              <w:rPr>
                <w:rFonts w:ascii="Cambria" w:hAnsi="Cambria"/>
                <w:lang w:val="en-US"/>
              </w:rPr>
              <w:t>disaster resilient community.</w:t>
            </w:r>
          </w:p>
        </w:tc>
      </w:tr>
      <w:tr w:rsidR="00576903" w:rsidRPr="007978BB" w:rsidTr="004E1D5D">
        <w:trPr>
          <w:trHeight w:val="1455"/>
        </w:trPr>
        <w:tc>
          <w:tcPr>
            <w:tcW w:w="2223" w:type="dxa"/>
            <w:tcBorders>
              <w:bottom w:val="double" w:sz="4" w:space="0" w:color="auto"/>
              <w:right w:val="double" w:sz="4" w:space="0" w:color="auto"/>
            </w:tcBorders>
            <w:shd w:val="clear" w:color="auto" w:fill="E7E6E6" w:themeFill="background2"/>
          </w:tcPr>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576903" w:rsidP="00B854F0">
            <w:pPr>
              <w:jc w:val="both"/>
              <w:rPr>
                <w:rFonts w:ascii="Cambria" w:hAnsi="Cambria"/>
                <w:b/>
                <w:lang w:val="en-US"/>
              </w:rPr>
            </w:pPr>
            <w:r w:rsidRPr="004E1D5D">
              <w:rPr>
                <w:rFonts w:ascii="Cambria" w:hAnsi="Cambria"/>
                <w:b/>
                <w:lang w:val="en-US"/>
              </w:rPr>
              <w:t xml:space="preserve">Points 3, 5, 7 and 8: </w:t>
            </w:r>
          </w:p>
          <w:p w:rsidR="00576903" w:rsidRPr="004E1D5D" w:rsidRDefault="00576903" w:rsidP="00576903">
            <w:pPr>
              <w:jc w:val="both"/>
              <w:rPr>
                <w:rFonts w:ascii="Cambria" w:hAnsi="Cambria"/>
                <w:lang w:val="en-US"/>
              </w:rPr>
            </w:pPr>
            <w:r w:rsidRPr="004E1D5D">
              <w:rPr>
                <w:rFonts w:ascii="Cambria" w:hAnsi="Cambria"/>
                <w:lang w:val="en-US"/>
              </w:rPr>
              <w:t xml:space="preserve">A brief addition is needed to differentiate the impacts of disasters, especially those caused by vulnerability to natural hazards, on developed, developing and the least developed countries/communities, underlining the link between poverty and vulnerability to disaster and emphasizing the vitality of reducing underlying factors directly related to development issues. </w:t>
            </w:r>
          </w:p>
        </w:tc>
      </w:tr>
      <w:tr w:rsidR="00576903" w:rsidRPr="007978BB" w:rsidTr="004E1D5D">
        <w:trPr>
          <w:trHeight w:val="1176"/>
        </w:trPr>
        <w:tc>
          <w:tcPr>
            <w:tcW w:w="2223" w:type="dxa"/>
            <w:tcBorders>
              <w:bottom w:val="double" w:sz="4" w:space="0" w:color="auto"/>
              <w:right w:val="double" w:sz="4" w:space="0" w:color="auto"/>
            </w:tcBorders>
            <w:shd w:val="clear" w:color="auto" w:fill="E7E6E6" w:themeFill="background2"/>
          </w:tcPr>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576903" w:rsidP="00B854F0">
            <w:pPr>
              <w:jc w:val="both"/>
              <w:rPr>
                <w:rFonts w:ascii="Cambria" w:hAnsi="Cambria"/>
                <w:b/>
                <w:lang w:val="en-US"/>
              </w:rPr>
            </w:pPr>
            <w:r w:rsidRPr="004E1D5D">
              <w:rPr>
                <w:rFonts w:ascii="Cambria" w:hAnsi="Cambria"/>
                <w:b/>
                <w:lang w:val="en-US"/>
              </w:rPr>
              <w:t>Point 4:</w:t>
            </w:r>
          </w:p>
          <w:p w:rsidR="00576903" w:rsidRPr="004E1D5D" w:rsidRDefault="00576903" w:rsidP="00B854F0">
            <w:pPr>
              <w:jc w:val="both"/>
              <w:rPr>
                <w:rFonts w:ascii="Cambria" w:hAnsi="Cambria"/>
                <w:b/>
                <w:lang w:val="en-US"/>
              </w:rPr>
            </w:pPr>
            <w:r w:rsidRPr="004E1D5D">
              <w:rPr>
                <w:rFonts w:ascii="Cambria" w:hAnsi="Cambria"/>
                <w:lang w:val="en-US"/>
              </w:rPr>
              <w:t xml:space="preserve">To mention risk scenarios to include both existing and potential risks, emphasizing dependent relationship of disaster risks with development processes. </w:t>
            </w:r>
          </w:p>
        </w:tc>
      </w:tr>
      <w:tr w:rsidR="00576903" w:rsidRPr="007978BB" w:rsidTr="004E1D5D">
        <w:trPr>
          <w:trHeight w:val="1095"/>
        </w:trPr>
        <w:tc>
          <w:tcPr>
            <w:tcW w:w="2223" w:type="dxa"/>
            <w:tcBorders>
              <w:bottom w:val="double" w:sz="4" w:space="0" w:color="auto"/>
              <w:right w:val="double" w:sz="4" w:space="0" w:color="auto"/>
            </w:tcBorders>
            <w:shd w:val="clear" w:color="auto" w:fill="E7E6E6" w:themeFill="background2"/>
          </w:tcPr>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576903" w:rsidP="00B854F0">
            <w:pPr>
              <w:jc w:val="both"/>
              <w:rPr>
                <w:rFonts w:ascii="Cambria" w:hAnsi="Cambria"/>
                <w:b/>
                <w:lang w:val="en-US"/>
              </w:rPr>
            </w:pPr>
            <w:r w:rsidRPr="004E1D5D">
              <w:rPr>
                <w:rFonts w:ascii="Cambria" w:hAnsi="Cambria"/>
                <w:b/>
                <w:lang w:val="en-US"/>
              </w:rPr>
              <w:t xml:space="preserve">Point 5: </w:t>
            </w:r>
          </w:p>
          <w:p w:rsidR="00576903" w:rsidRPr="004E1D5D" w:rsidRDefault="00576903" w:rsidP="00B854F0">
            <w:pPr>
              <w:jc w:val="both"/>
              <w:rPr>
                <w:rFonts w:ascii="Cambria" w:hAnsi="Cambria"/>
                <w:b/>
                <w:lang w:val="en-US"/>
              </w:rPr>
            </w:pPr>
            <w:r w:rsidRPr="004E1D5D">
              <w:rPr>
                <w:rFonts w:ascii="Cambria" w:hAnsi="Cambria"/>
                <w:lang w:val="en-US"/>
              </w:rPr>
              <w:t>To underline importance of improvement and application of regulations within the framework of disaster risk reduction. The role and importance of “early warning” in</w:t>
            </w:r>
            <w:r w:rsidR="004E1D5D">
              <w:rPr>
                <w:rFonts w:ascii="Cambria" w:hAnsi="Cambria"/>
                <w:lang w:val="en-US"/>
              </w:rPr>
              <w:t xml:space="preserve"> risk reduction needs to be add</w:t>
            </w:r>
            <w:r w:rsidRPr="004E1D5D">
              <w:rPr>
                <w:rFonts w:ascii="Cambria" w:hAnsi="Cambria"/>
                <w:lang w:val="en-US"/>
              </w:rPr>
              <w:t xml:space="preserve"> to the last sentence.</w:t>
            </w:r>
          </w:p>
        </w:tc>
      </w:tr>
      <w:tr w:rsidR="00576903" w:rsidRPr="007978BB" w:rsidTr="004E1D5D">
        <w:trPr>
          <w:trHeight w:val="1110"/>
        </w:trPr>
        <w:tc>
          <w:tcPr>
            <w:tcW w:w="2223" w:type="dxa"/>
            <w:tcBorders>
              <w:bottom w:val="double" w:sz="4" w:space="0" w:color="auto"/>
              <w:right w:val="double" w:sz="4" w:space="0" w:color="auto"/>
            </w:tcBorders>
            <w:shd w:val="clear" w:color="auto" w:fill="E7E6E6" w:themeFill="background2"/>
          </w:tcPr>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576903" w:rsidP="00B854F0">
            <w:pPr>
              <w:jc w:val="both"/>
              <w:rPr>
                <w:rFonts w:ascii="Cambria" w:hAnsi="Cambria"/>
                <w:b/>
                <w:lang w:val="en-US"/>
              </w:rPr>
            </w:pPr>
            <w:r w:rsidRPr="004E1D5D">
              <w:rPr>
                <w:rFonts w:ascii="Cambria" w:hAnsi="Cambria"/>
                <w:b/>
                <w:lang w:val="en-US"/>
              </w:rPr>
              <w:t>Points 6:</w:t>
            </w:r>
          </w:p>
          <w:p w:rsidR="00576903" w:rsidRPr="004E1D5D" w:rsidRDefault="00576903" w:rsidP="00B854F0">
            <w:pPr>
              <w:jc w:val="both"/>
              <w:rPr>
                <w:rFonts w:ascii="Cambria" w:hAnsi="Cambria"/>
                <w:b/>
                <w:lang w:val="en-US"/>
              </w:rPr>
            </w:pPr>
            <w:r w:rsidRPr="004E1D5D">
              <w:rPr>
                <w:rFonts w:ascii="Cambria" w:hAnsi="Cambria"/>
                <w:lang w:val="en-US"/>
              </w:rPr>
              <w:t xml:space="preserve">To exemplify, briefly, the statement “for business to integrate disaster risk into their management practices…” by emphasizing most relevant areas such as labor/workplace safety and health regulations, business continuity management and other. </w:t>
            </w:r>
          </w:p>
        </w:tc>
      </w:tr>
      <w:tr w:rsidR="00576903" w:rsidRPr="007978BB" w:rsidTr="004E1D5D">
        <w:trPr>
          <w:trHeight w:val="1455"/>
        </w:trPr>
        <w:tc>
          <w:tcPr>
            <w:tcW w:w="2223" w:type="dxa"/>
            <w:tcBorders>
              <w:bottom w:val="double" w:sz="4" w:space="0" w:color="auto"/>
              <w:right w:val="double" w:sz="4" w:space="0" w:color="auto"/>
            </w:tcBorders>
            <w:shd w:val="clear" w:color="auto" w:fill="E7E6E6" w:themeFill="background2"/>
          </w:tcPr>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576903" w:rsidP="00B854F0">
            <w:pPr>
              <w:jc w:val="both"/>
              <w:rPr>
                <w:rFonts w:ascii="Cambria" w:hAnsi="Cambria"/>
                <w:b/>
                <w:lang w:val="en-US"/>
              </w:rPr>
            </w:pPr>
            <w:r w:rsidRPr="004E1D5D">
              <w:rPr>
                <w:rFonts w:ascii="Cambria" w:hAnsi="Cambria"/>
                <w:b/>
                <w:lang w:val="en-US"/>
              </w:rPr>
              <w:t xml:space="preserve">Point 10: </w:t>
            </w:r>
          </w:p>
          <w:p w:rsidR="00576903" w:rsidRPr="004E1D5D" w:rsidRDefault="00576903" w:rsidP="00B854F0">
            <w:pPr>
              <w:jc w:val="both"/>
              <w:rPr>
                <w:rFonts w:ascii="Cambria" w:hAnsi="Cambria"/>
                <w:b/>
                <w:lang w:val="en-US"/>
              </w:rPr>
            </w:pPr>
            <w:r w:rsidRPr="004E1D5D">
              <w:rPr>
                <w:rFonts w:ascii="Cambria" w:hAnsi="Cambria"/>
                <w:lang w:val="en-US"/>
              </w:rPr>
              <w:t>To define “Economic, social, cultural, and environmental resilience” clearly.</w:t>
            </w:r>
          </w:p>
        </w:tc>
      </w:tr>
      <w:tr w:rsidR="00576903" w:rsidRPr="007978BB" w:rsidTr="004E1D5D">
        <w:trPr>
          <w:trHeight w:val="1455"/>
        </w:trPr>
        <w:tc>
          <w:tcPr>
            <w:tcW w:w="2223" w:type="dxa"/>
            <w:tcBorders>
              <w:bottom w:val="double" w:sz="4" w:space="0" w:color="auto"/>
              <w:right w:val="double" w:sz="4" w:space="0" w:color="auto"/>
            </w:tcBorders>
            <w:shd w:val="clear" w:color="auto" w:fill="E7E6E6" w:themeFill="background2"/>
          </w:tcPr>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576903" w:rsidP="00B854F0">
            <w:pPr>
              <w:jc w:val="both"/>
              <w:rPr>
                <w:rFonts w:ascii="Cambria" w:hAnsi="Cambria"/>
                <w:b/>
                <w:lang w:val="en-US"/>
              </w:rPr>
            </w:pPr>
            <w:r w:rsidRPr="004E1D5D">
              <w:rPr>
                <w:rFonts w:ascii="Cambria" w:hAnsi="Cambria"/>
                <w:b/>
                <w:lang w:val="en-US"/>
              </w:rPr>
              <w:t>2.</w:t>
            </w:r>
            <w:r w:rsidRPr="004E1D5D">
              <w:rPr>
                <w:rFonts w:ascii="Cambria" w:hAnsi="Cambria"/>
                <w:b/>
                <w:lang w:val="en-US"/>
              </w:rPr>
              <w:tab/>
              <w:t>Section B (Expected Outcome and Goal):</w:t>
            </w:r>
          </w:p>
          <w:p w:rsidR="00576903" w:rsidRPr="004E1D5D" w:rsidRDefault="00576903" w:rsidP="00B854F0">
            <w:pPr>
              <w:jc w:val="both"/>
              <w:rPr>
                <w:rFonts w:ascii="Cambria" w:hAnsi="Cambria"/>
                <w:b/>
                <w:lang w:val="en-US"/>
              </w:rPr>
            </w:pPr>
            <w:r w:rsidRPr="004E1D5D">
              <w:rPr>
                <w:rFonts w:ascii="Cambria" w:hAnsi="Cambria"/>
                <w:b/>
                <w:lang w:val="en-US"/>
              </w:rPr>
              <w:t>Point 11</w:t>
            </w:r>
          </w:p>
          <w:p w:rsidR="00576903" w:rsidRPr="004E1D5D" w:rsidRDefault="00576903" w:rsidP="00B854F0">
            <w:pPr>
              <w:jc w:val="both"/>
              <w:rPr>
                <w:rFonts w:ascii="Cambria" w:hAnsi="Cambria"/>
                <w:lang w:val="en-US"/>
              </w:rPr>
            </w:pPr>
            <w:r w:rsidRPr="004E1D5D">
              <w:rPr>
                <w:rFonts w:ascii="Cambria" w:hAnsi="Cambria"/>
                <w:lang w:val="en-US"/>
              </w:rPr>
              <w:t>Stated duration of the Framework, 20 years, seems reasonable. For implementation, however, a general evaluation of the Framework in every 10 years, and subject-based reviews in every 2 to 5 years, depending on the specifics of activities, need to be considered.</w:t>
            </w:r>
          </w:p>
          <w:p w:rsidR="00576903" w:rsidRPr="004E1D5D" w:rsidRDefault="00576903" w:rsidP="00B854F0">
            <w:pPr>
              <w:jc w:val="both"/>
              <w:rPr>
                <w:rFonts w:ascii="Cambria" w:hAnsi="Cambria"/>
                <w:b/>
                <w:lang w:val="en-US"/>
              </w:rPr>
            </w:pPr>
          </w:p>
          <w:p w:rsidR="00576903" w:rsidRPr="004E1D5D" w:rsidRDefault="00576903" w:rsidP="00B854F0">
            <w:pPr>
              <w:jc w:val="both"/>
              <w:rPr>
                <w:rFonts w:ascii="Cambria" w:hAnsi="Cambria"/>
                <w:lang w:val="en-US"/>
              </w:rPr>
            </w:pPr>
            <w:r w:rsidRPr="004E1D5D">
              <w:rPr>
                <w:rFonts w:ascii="Cambria" w:hAnsi="Cambria"/>
                <w:lang w:val="en-US"/>
              </w:rPr>
              <w:t>In addition, development of “effective, realistic and measurable indicators” in terms of assessment of progress needs to be mentioned.</w:t>
            </w:r>
          </w:p>
          <w:p w:rsidR="004E1D5D" w:rsidRPr="004E1D5D" w:rsidRDefault="004E1D5D" w:rsidP="00B854F0">
            <w:pPr>
              <w:jc w:val="both"/>
              <w:rPr>
                <w:rFonts w:ascii="Cambria" w:hAnsi="Cambria"/>
                <w:lang w:val="en-US"/>
              </w:rPr>
            </w:pPr>
          </w:p>
        </w:tc>
      </w:tr>
      <w:tr w:rsidR="00576903" w:rsidRPr="007978BB" w:rsidTr="004E1D5D">
        <w:trPr>
          <w:trHeight w:val="1156"/>
        </w:trPr>
        <w:tc>
          <w:tcPr>
            <w:tcW w:w="2223" w:type="dxa"/>
            <w:tcBorders>
              <w:bottom w:val="double" w:sz="4" w:space="0" w:color="auto"/>
              <w:right w:val="double" w:sz="4" w:space="0" w:color="auto"/>
            </w:tcBorders>
            <w:shd w:val="clear" w:color="auto" w:fill="E7E6E6" w:themeFill="background2"/>
          </w:tcPr>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576903" w:rsidP="00B854F0">
            <w:pPr>
              <w:jc w:val="both"/>
              <w:rPr>
                <w:rFonts w:ascii="Cambria" w:hAnsi="Cambria"/>
                <w:b/>
                <w:lang w:val="en-US"/>
              </w:rPr>
            </w:pPr>
            <w:r w:rsidRPr="004E1D5D">
              <w:rPr>
                <w:rFonts w:ascii="Cambria" w:hAnsi="Cambria"/>
                <w:b/>
                <w:lang w:val="en-US"/>
              </w:rPr>
              <w:t xml:space="preserve">Point 13 </w:t>
            </w:r>
          </w:p>
          <w:p w:rsidR="00576903" w:rsidRPr="004E1D5D" w:rsidRDefault="00576903" w:rsidP="00B854F0">
            <w:pPr>
              <w:jc w:val="both"/>
              <w:rPr>
                <w:rFonts w:ascii="Cambria" w:hAnsi="Cambria"/>
                <w:lang w:val="en-US"/>
              </w:rPr>
            </w:pPr>
            <w:r w:rsidRPr="004E1D5D">
              <w:rPr>
                <w:rFonts w:ascii="Cambria" w:hAnsi="Cambria"/>
                <w:lang w:val="en-US"/>
              </w:rPr>
              <w:t>Global targets for the expected outcome, namely percentage, year information, need to be thoroughly identified as comprehensive discussions are needed for decision-making in assigning values. Disparities in country specific targets and percentages needs to be considered.</w:t>
            </w:r>
          </w:p>
          <w:p w:rsidR="00576903" w:rsidRPr="004E1D5D" w:rsidRDefault="00576903" w:rsidP="00B854F0">
            <w:pPr>
              <w:jc w:val="both"/>
              <w:rPr>
                <w:rFonts w:ascii="Cambria" w:hAnsi="Cambria"/>
                <w:b/>
                <w:lang w:val="en-US"/>
              </w:rPr>
            </w:pPr>
          </w:p>
        </w:tc>
      </w:tr>
      <w:tr w:rsidR="00576903" w:rsidRPr="007978BB" w:rsidTr="004E1D5D">
        <w:trPr>
          <w:trHeight w:val="1230"/>
        </w:trPr>
        <w:tc>
          <w:tcPr>
            <w:tcW w:w="2223" w:type="dxa"/>
            <w:tcBorders>
              <w:bottom w:val="double" w:sz="4" w:space="0" w:color="auto"/>
              <w:right w:val="double" w:sz="4" w:space="0" w:color="auto"/>
            </w:tcBorders>
            <w:shd w:val="clear" w:color="auto" w:fill="E7E6E6" w:themeFill="background2"/>
          </w:tcPr>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576903" w:rsidP="00B854F0">
            <w:pPr>
              <w:jc w:val="both"/>
              <w:rPr>
                <w:rFonts w:ascii="Cambria" w:hAnsi="Cambria"/>
                <w:b/>
                <w:lang w:val="en-US"/>
              </w:rPr>
            </w:pPr>
            <w:r w:rsidRPr="004E1D5D">
              <w:rPr>
                <w:rFonts w:ascii="Cambria" w:hAnsi="Cambria"/>
                <w:b/>
                <w:lang w:val="en-US"/>
              </w:rPr>
              <w:t>Point 14:</w:t>
            </w:r>
          </w:p>
          <w:p w:rsidR="00576903" w:rsidRPr="004E1D5D" w:rsidRDefault="00576903" w:rsidP="00B854F0">
            <w:pPr>
              <w:jc w:val="both"/>
              <w:rPr>
                <w:rFonts w:ascii="Cambria" w:hAnsi="Cambria"/>
                <w:i/>
                <w:lang w:val="en-US"/>
              </w:rPr>
            </w:pPr>
            <w:r w:rsidRPr="004E1D5D">
              <w:rPr>
                <w:rFonts w:ascii="Cambria" w:hAnsi="Cambria"/>
                <w:lang w:val="en-US"/>
              </w:rPr>
              <w:t>Amendment: The wording “</w:t>
            </w:r>
            <w:proofErr w:type="gramStart"/>
            <w:r w:rsidRPr="004E1D5D">
              <w:rPr>
                <w:rFonts w:ascii="Cambria" w:hAnsi="Cambria"/>
                <w:lang w:val="en-US"/>
              </w:rPr>
              <w:t>..disasters</w:t>
            </w:r>
            <w:proofErr w:type="gramEnd"/>
            <w:r w:rsidRPr="004E1D5D">
              <w:rPr>
                <w:rFonts w:ascii="Cambria" w:hAnsi="Cambria"/>
                <w:lang w:val="en-US"/>
              </w:rPr>
              <w:t xml:space="preserve"> caused by natural hazards..” needs to be changed as disasters are mainly caused by the interaction of natural hazards, exposure and vulnerability. Suggestions: </w:t>
            </w:r>
            <w:r w:rsidRPr="004E1D5D">
              <w:rPr>
                <w:rFonts w:ascii="Cambria" w:hAnsi="Cambria"/>
                <w:i/>
                <w:lang w:val="en-US"/>
              </w:rPr>
              <w:t xml:space="preserve">disasters involving natural hazards, or disasters caused by vulnerability to hazards, and such. </w:t>
            </w:r>
          </w:p>
          <w:p w:rsidR="00576903" w:rsidRPr="004E1D5D" w:rsidRDefault="00576903" w:rsidP="00B854F0">
            <w:pPr>
              <w:jc w:val="both"/>
              <w:rPr>
                <w:rFonts w:ascii="Cambria" w:hAnsi="Cambria"/>
                <w:b/>
                <w:lang w:val="en-US"/>
              </w:rPr>
            </w:pPr>
          </w:p>
        </w:tc>
      </w:tr>
      <w:tr w:rsidR="00576903" w:rsidRPr="007978BB" w:rsidTr="004E1D5D">
        <w:trPr>
          <w:trHeight w:val="1455"/>
        </w:trPr>
        <w:tc>
          <w:tcPr>
            <w:tcW w:w="2223" w:type="dxa"/>
            <w:tcBorders>
              <w:bottom w:val="double" w:sz="4" w:space="0" w:color="auto"/>
              <w:right w:val="double" w:sz="4" w:space="0" w:color="auto"/>
            </w:tcBorders>
            <w:shd w:val="clear" w:color="auto" w:fill="E7E6E6" w:themeFill="background2"/>
          </w:tcPr>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576903" w:rsidP="00B854F0">
            <w:pPr>
              <w:jc w:val="both"/>
              <w:rPr>
                <w:rFonts w:ascii="Cambria" w:hAnsi="Cambria"/>
                <w:b/>
                <w:lang w:val="en-US"/>
              </w:rPr>
            </w:pPr>
            <w:r w:rsidRPr="004E1D5D">
              <w:rPr>
                <w:rFonts w:ascii="Cambria" w:hAnsi="Cambria"/>
                <w:b/>
                <w:lang w:val="en-US"/>
              </w:rPr>
              <w:t>3.</w:t>
            </w:r>
            <w:r w:rsidRPr="004E1D5D">
              <w:rPr>
                <w:rFonts w:ascii="Cambria" w:hAnsi="Cambria"/>
                <w:b/>
                <w:lang w:val="en-US"/>
              </w:rPr>
              <w:tab/>
              <w:t>Section C (Guiding Principles):</w:t>
            </w:r>
          </w:p>
          <w:p w:rsidR="00576903" w:rsidRPr="004E1D5D" w:rsidRDefault="00576903" w:rsidP="00B854F0">
            <w:pPr>
              <w:jc w:val="both"/>
              <w:rPr>
                <w:rFonts w:ascii="Cambria" w:hAnsi="Cambria"/>
                <w:b/>
                <w:lang w:val="en-US"/>
              </w:rPr>
            </w:pPr>
          </w:p>
          <w:p w:rsidR="00576903" w:rsidRPr="004E1D5D" w:rsidRDefault="00576903" w:rsidP="00B854F0">
            <w:pPr>
              <w:jc w:val="both"/>
              <w:rPr>
                <w:rFonts w:ascii="Cambria" w:hAnsi="Cambria"/>
                <w:b/>
                <w:lang w:val="en-US"/>
              </w:rPr>
            </w:pPr>
            <w:r w:rsidRPr="004E1D5D">
              <w:rPr>
                <w:rFonts w:ascii="Cambria" w:hAnsi="Cambria"/>
                <w:b/>
                <w:lang w:val="en-US"/>
              </w:rPr>
              <w:t>Point 15:</w:t>
            </w:r>
          </w:p>
          <w:p w:rsidR="00576903" w:rsidRPr="004E1D5D" w:rsidRDefault="00576903" w:rsidP="00B854F0">
            <w:pPr>
              <w:jc w:val="both"/>
              <w:rPr>
                <w:rFonts w:ascii="Cambria" w:hAnsi="Cambria"/>
                <w:lang w:val="en-US"/>
              </w:rPr>
            </w:pPr>
            <w:r w:rsidRPr="004E1D5D">
              <w:rPr>
                <w:rFonts w:ascii="Cambria" w:hAnsi="Cambria"/>
                <w:lang w:val="en-US"/>
              </w:rPr>
              <w:t>To underline importance of forecast and early warning in disaster risk reduction and of regi</w:t>
            </w:r>
            <w:r w:rsidR="004E1D5D" w:rsidRPr="004E1D5D">
              <w:rPr>
                <w:rFonts w:ascii="Cambria" w:hAnsi="Cambria"/>
                <w:lang w:val="en-US"/>
              </w:rPr>
              <w:t>onal cooperation in this field.</w:t>
            </w:r>
          </w:p>
        </w:tc>
      </w:tr>
      <w:tr w:rsidR="00576903" w:rsidRPr="007978BB" w:rsidTr="004E1D5D">
        <w:trPr>
          <w:trHeight w:val="1455"/>
        </w:trPr>
        <w:tc>
          <w:tcPr>
            <w:tcW w:w="2223" w:type="dxa"/>
            <w:tcBorders>
              <w:bottom w:val="double" w:sz="4" w:space="0" w:color="auto"/>
              <w:right w:val="double" w:sz="4" w:space="0" w:color="auto"/>
            </w:tcBorders>
            <w:shd w:val="clear" w:color="auto" w:fill="E7E6E6" w:themeFill="background2"/>
          </w:tcPr>
          <w:p w:rsidR="00576903" w:rsidRPr="007978BB" w:rsidRDefault="00576903" w:rsidP="00D322D7">
            <w:pPr>
              <w:rPr>
                <w:rFonts w:ascii="Cambria" w:hAnsi="Cambria"/>
                <w:b/>
                <w:lang w:val="en-GB"/>
              </w:rPr>
            </w:pPr>
          </w:p>
        </w:tc>
        <w:tc>
          <w:tcPr>
            <w:tcW w:w="13512" w:type="dxa"/>
            <w:tcBorders>
              <w:left w:val="double" w:sz="4" w:space="0" w:color="auto"/>
              <w:bottom w:val="double" w:sz="4" w:space="0" w:color="auto"/>
            </w:tcBorders>
          </w:tcPr>
          <w:p w:rsidR="00576903" w:rsidRPr="004E1D5D" w:rsidRDefault="00576903" w:rsidP="00B854F0">
            <w:pPr>
              <w:jc w:val="both"/>
              <w:rPr>
                <w:rFonts w:ascii="Cambria" w:hAnsi="Cambria"/>
                <w:b/>
                <w:lang w:val="en-US"/>
              </w:rPr>
            </w:pPr>
            <w:r w:rsidRPr="004E1D5D">
              <w:rPr>
                <w:rFonts w:ascii="Cambria" w:hAnsi="Cambria"/>
                <w:b/>
                <w:lang w:val="en-US"/>
              </w:rPr>
              <w:t>Point 15 / d:</w:t>
            </w:r>
          </w:p>
          <w:p w:rsidR="00576903" w:rsidRPr="004E1D5D" w:rsidRDefault="00576903" w:rsidP="00B854F0">
            <w:pPr>
              <w:jc w:val="both"/>
              <w:rPr>
                <w:rFonts w:ascii="Cambria" w:hAnsi="Cambria"/>
                <w:lang w:val="en-US"/>
              </w:rPr>
            </w:pPr>
            <w:r w:rsidRPr="004E1D5D">
              <w:rPr>
                <w:rFonts w:ascii="Cambria" w:hAnsi="Cambria"/>
                <w:lang w:val="en-US"/>
              </w:rPr>
              <w:t>To identify, briefly, resources and incentives for local au</w:t>
            </w:r>
            <w:r w:rsidR="004E1D5D">
              <w:rPr>
                <w:rFonts w:ascii="Cambria" w:hAnsi="Cambria"/>
                <w:lang w:val="en-US"/>
              </w:rPr>
              <w:t>thorities, especially for those</w:t>
            </w:r>
            <w:r w:rsidRPr="004E1D5D">
              <w:rPr>
                <w:rFonts w:ascii="Cambria" w:hAnsi="Cambria"/>
                <w:lang w:val="en-US"/>
              </w:rPr>
              <w:t xml:space="preserve"> in rural/semi-rural areas, needed to fulfill their responsibilities to reduce disaster risk, including consistent availability of science-based knowledge and assistance, technical, administrative, financial and other requirements to integrate disaster risk reduction practices, policies and </w:t>
            </w:r>
            <w:r w:rsidR="004E1D5D" w:rsidRPr="004E1D5D">
              <w:rPr>
                <w:rFonts w:ascii="Cambria" w:hAnsi="Cambria"/>
                <w:lang w:val="en-US"/>
              </w:rPr>
              <w:t>programs</w:t>
            </w:r>
            <w:r w:rsidR="004E1D5D">
              <w:rPr>
                <w:rFonts w:ascii="Cambria" w:hAnsi="Cambria"/>
                <w:lang w:val="en-US"/>
              </w:rPr>
              <w:t xml:space="preserve"> in their</w:t>
            </w:r>
            <w:r w:rsidRPr="004E1D5D">
              <w:rPr>
                <w:rFonts w:ascii="Cambria" w:hAnsi="Cambria"/>
                <w:lang w:val="en-US"/>
              </w:rPr>
              <w:t xml:space="preserve"> daily work. </w:t>
            </w:r>
          </w:p>
          <w:p w:rsidR="004E1D5D" w:rsidRPr="004E1D5D" w:rsidRDefault="004E1D5D" w:rsidP="00B854F0">
            <w:pPr>
              <w:jc w:val="both"/>
              <w:rPr>
                <w:rFonts w:ascii="Cambria" w:hAnsi="Cambria"/>
                <w:lang w:val="en-US"/>
              </w:rPr>
            </w:pPr>
          </w:p>
          <w:p w:rsidR="00576903" w:rsidRPr="004E1D5D" w:rsidRDefault="00576903" w:rsidP="00576903">
            <w:pPr>
              <w:autoSpaceDE w:val="0"/>
              <w:autoSpaceDN w:val="0"/>
              <w:adjustRightInd w:val="0"/>
              <w:rPr>
                <w:rFonts w:ascii="Cambria" w:hAnsi="Cambria"/>
                <w:lang w:val="en-US"/>
              </w:rPr>
            </w:pPr>
            <w:r w:rsidRPr="004E1D5D">
              <w:rPr>
                <w:rFonts w:ascii="Cambria" w:hAnsi="Cambria"/>
                <w:b/>
                <w:lang w:val="en-US"/>
              </w:rPr>
              <w:t>Example;</w:t>
            </w:r>
            <w:r w:rsidRPr="004E1D5D">
              <w:rPr>
                <w:rFonts w:ascii="Cambria" w:hAnsi="Cambria"/>
                <w:lang w:val="en-US"/>
              </w:rPr>
              <w:t xml:space="preserve"> </w:t>
            </w:r>
            <w:r w:rsidR="004E1D5D">
              <w:rPr>
                <w:rFonts w:ascii="Cambria" w:hAnsi="Cambria"/>
                <w:lang w:val="en-US"/>
              </w:rPr>
              <w:t>AFAD - TURKEY has risk mod</w:t>
            </w:r>
            <w:r w:rsidRPr="004E1D5D">
              <w:rPr>
                <w:rFonts w:ascii="Cambria" w:hAnsi="Cambria"/>
                <w:lang w:val="en-US"/>
              </w:rPr>
              <w:t>e</w:t>
            </w:r>
            <w:r w:rsidR="004E1D5D">
              <w:rPr>
                <w:rFonts w:ascii="Cambria" w:hAnsi="Cambria"/>
                <w:lang w:val="en-US"/>
              </w:rPr>
              <w:t xml:space="preserve">lling project, which carry out </w:t>
            </w:r>
            <w:r w:rsidRPr="004E1D5D">
              <w:rPr>
                <w:rFonts w:ascii="Cambria" w:hAnsi="Cambria"/>
                <w:lang w:val="en-US"/>
              </w:rPr>
              <w:t xml:space="preserve">with university and local </w:t>
            </w:r>
            <w:r w:rsidR="004E1D5D" w:rsidRPr="004E1D5D">
              <w:rPr>
                <w:rFonts w:ascii="Cambria" w:hAnsi="Cambria"/>
                <w:lang w:val="en-US"/>
              </w:rPr>
              <w:t>government</w:t>
            </w:r>
            <w:r w:rsidR="004E1D5D">
              <w:rPr>
                <w:rFonts w:ascii="Cambria" w:hAnsi="Cambria"/>
                <w:lang w:val="en-US"/>
              </w:rPr>
              <w:t>.</w:t>
            </w:r>
            <w:r w:rsidRPr="004E1D5D">
              <w:rPr>
                <w:rFonts w:ascii="Cambria" w:hAnsi="Cambria"/>
                <w:lang w:val="en-US"/>
              </w:rPr>
              <w:t xml:space="preserve"> Aim of this projects is </w:t>
            </w:r>
            <w:r w:rsidR="004E1D5D" w:rsidRPr="004E1D5D">
              <w:rPr>
                <w:rFonts w:ascii="Cambria" w:hAnsi="Cambria"/>
                <w:lang w:val="en-US"/>
              </w:rPr>
              <w:t xml:space="preserve">modelling </w:t>
            </w:r>
            <w:r w:rsidRPr="004E1D5D">
              <w:rPr>
                <w:rFonts w:ascii="Cambria" w:hAnsi="Cambria"/>
                <w:lang w:val="en-US"/>
              </w:rPr>
              <w:t xml:space="preserve">natural disaster and calculate to </w:t>
            </w:r>
            <w:r w:rsidR="004E1D5D" w:rsidRPr="004E1D5D">
              <w:rPr>
                <w:rFonts w:ascii="Cambria" w:hAnsi="Cambria"/>
                <w:lang w:val="en-US"/>
              </w:rPr>
              <w:t>algorithm</w:t>
            </w:r>
            <w:r w:rsidRPr="004E1D5D">
              <w:rPr>
                <w:rFonts w:ascii="Cambria" w:hAnsi="Cambria"/>
                <w:lang w:val="en-US"/>
              </w:rPr>
              <w:t xml:space="preserve"> for national level.</w:t>
            </w:r>
          </w:p>
          <w:p w:rsidR="00576903" w:rsidRPr="004E1D5D" w:rsidRDefault="00576903" w:rsidP="00B854F0">
            <w:pPr>
              <w:jc w:val="both"/>
              <w:rPr>
                <w:rFonts w:ascii="Cambria" w:hAnsi="Cambria"/>
                <w:b/>
                <w:lang w:val="en-US"/>
              </w:rPr>
            </w:pPr>
          </w:p>
        </w:tc>
      </w:tr>
      <w:tr w:rsidR="00050B57" w:rsidRPr="007978BB" w:rsidTr="004E1D5D">
        <w:trPr>
          <w:trHeight w:val="1455"/>
        </w:trPr>
        <w:tc>
          <w:tcPr>
            <w:tcW w:w="2223" w:type="dxa"/>
            <w:tcBorders>
              <w:bottom w:val="double" w:sz="4" w:space="0" w:color="auto"/>
              <w:right w:val="double" w:sz="4" w:space="0" w:color="auto"/>
            </w:tcBorders>
            <w:shd w:val="clear" w:color="auto" w:fill="E7E6E6" w:themeFill="background2"/>
          </w:tcPr>
          <w:p w:rsidR="00050B57" w:rsidRPr="007978BB" w:rsidRDefault="00050B57" w:rsidP="00D322D7">
            <w:pPr>
              <w:rPr>
                <w:rFonts w:ascii="Cambria" w:hAnsi="Cambria"/>
                <w:b/>
                <w:lang w:val="en-GB"/>
              </w:rPr>
            </w:pPr>
          </w:p>
        </w:tc>
        <w:tc>
          <w:tcPr>
            <w:tcW w:w="13512" w:type="dxa"/>
            <w:tcBorders>
              <w:left w:val="double" w:sz="4" w:space="0" w:color="auto"/>
              <w:bottom w:val="double" w:sz="4" w:space="0" w:color="auto"/>
            </w:tcBorders>
          </w:tcPr>
          <w:p w:rsidR="00050B57" w:rsidRPr="004E1D5D" w:rsidRDefault="00050B57" w:rsidP="00B854F0">
            <w:pPr>
              <w:jc w:val="both"/>
              <w:rPr>
                <w:rFonts w:ascii="Cambria" w:hAnsi="Cambria"/>
                <w:b/>
                <w:lang w:val="en-US"/>
              </w:rPr>
            </w:pPr>
            <w:r w:rsidRPr="004E1D5D">
              <w:rPr>
                <w:rFonts w:ascii="Cambria" w:hAnsi="Cambria"/>
                <w:b/>
                <w:lang w:val="en-US"/>
              </w:rPr>
              <w:t>4.</w:t>
            </w:r>
            <w:r w:rsidRPr="004E1D5D">
              <w:rPr>
                <w:rFonts w:ascii="Cambria" w:hAnsi="Cambria"/>
                <w:b/>
                <w:lang w:val="en-US"/>
              </w:rPr>
              <w:tab/>
              <w:t>Section D (Priorities for Action):</w:t>
            </w:r>
          </w:p>
          <w:p w:rsidR="00050B57" w:rsidRPr="004E1D5D" w:rsidRDefault="00050B57" w:rsidP="00B854F0">
            <w:pPr>
              <w:jc w:val="both"/>
              <w:rPr>
                <w:rFonts w:ascii="Cambria" w:hAnsi="Cambria"/>
                <w:b/>
                <w:lang w:val="en-US"/>
              </w:rPr>
            </w:pPr>
          </w:p>
          <w:p w:rsidR="00050B57" w:rsidRPr="004E1D5D" w:rsidRDefault="00050B57" w:rsidP="00B854F0">
            <w:pPr>
              <w:jc w:val="both"/>
              <w:rPr>
                <w:rFonts w:ascii="Cambria" w:hAnsi="Cambria"/>
                <w:b/>
                <w:lang w:val="en-US"/>
              </w:rPr>
            </w:pPr>
            <w:r w:rsidRPr="004E1D5D">
              <w:rPr>
                <w:rFonts w:ascii="Cambria" w:hAnsi="Cambria"/>
                <w:b/>
                <w:lang w:val="en-US"/>
              </w:rPr>
              <w:t>Point 18:</w:t>
            </w:r>
          </w:p>
          <w:p w:rsidR="00050B57" w:rsidRPr="004E1D5D" w:rsidRDefault="00050B57" w:rsidP="00B854F0">
            <w:pPr>
              <w:jc w:val="both"/>
              <w:rPr>
                <w:rFonts w:ascii="Cambria" w:hAnsi="Cambria"/>
                <w:lang w:val="en-US"/>
              </w:rPr>
            </w:pPr>
            <w:r w:rsidRPr="004E1D5D">
              <w:rPr>
                <w:rFonts w:ascii="Cambria" w:hAnsi="Cambria"/>
                <w:lang w:val="en-US"/>
              </w:rPr>
              <w:t xml:space="preserve">To emphasize crucial importance of incorporating prevention in prevailing cultural norms through proper mechanisms besides promoting new dimensions of culture of prevention. </w:t>
            </w:r>
          </w:p>
          <w:p w:rsidR="004E1D5D" w:rsidRPr="004E1D5D" w:rsidRDefault="004E1D5D" w:rsidP="00B854F0">
            <w:pPr>
              <w:jc w:val="both"/>
              <w:rPr>
                <w:rFonts w:ascii="Cambria" w:hAnsi="Cambria"/>
                <w:b/>
                <w:lang w:val="en-US"/>
              </w:rPr>
            </w:pPr>
          </w:p>
          <w:p w:rsidR="00050B57" w:rsidRPr="004E1D5D" w:rsidRDefault="00050B57" w:rsidP="00B854F0">
            <w:pPr>
              <w:jc w:val="both"/>
              <w:rPr>
                <w:rFonts w:ascii="Cambria" w:hAnsi="Cambria"/>
                <w:lang w:val="en-US"/>
              </w:rPr>
            </w:pPr>
            <w:r w:rsidRPr="004E1D5D">
              <w:rPr>
                <w:rFonts w:ascii="Cambria" w:hAnsi="Cambria"/>
                <w:b/>
                <w:lang w:val="en-US"/>
              </w:rPr>
              <w:t xml:space="preserve">Example;  </w:t>
            </w:r>
            <w:r w:rsidRPr="004E1D5D">
              <w:rPr>
                <w:rFonts w:ascii="Cambria" w:hAnsi="Cambria"/>
                <w:lang w:val="en-US"/>
              </w:rPr>
              <w:t>Turkey AFAD  has already started an education campaign for families, schools, workplaces, young volunteers, media, critical and vulnerable groups to make them prepared to disasters. In the scope of the campaign 8 million people will be trained face to face in five years. In addition to this, regional and mobile disaster education centers will be reaching to the rural area.</w:t>
            </w:r>
          </w:p>
          <w:p w:rsidR="004E1D5D" w:rsidRPr="004E1D5D" w:rsidRDefault="004E1D5D" w:rsidP="00B854F0">
            <w:pPr>
              <w:jc w:val="both"/>
              <w:rPr>
                <w:rFonts w:ascii="Cambria" w:hAnsi="Cambria"/>
                <w:b/>
                <w:lang w:val="en-US"/>
              </w:rPr>
            </w:pPr>
          </w:p>
        </w:tc>
      </w:tr>
      <w:tr w:rsidR="00050B57" w:rsidRPr="007978BB" w:rsidTr="004E1D5D">
        <w:trPr>
          <w:trHeight w:val="1455"/>
        </w:trPr>
        <w:tc>
          <w:tcPr>
            <w:tcW w:w="2223" w:type="dxa"/>
            <w:tcBorders>
              <w:bottom w:val="double" w:sz="4" w:space="0" w:color="auto"/>
              <w:right w:val="double" w:sz="4" w:space="0" w:color="auto"/>
            </w:tcBorders>
            <w:shd w:val="clear" w:color="auto" w:fill="E7E6E6" w:themeFill="background2"/>
          </w:tcPr>
          <w:p w:rsidR="00050B57" w:rsidRPr="007978BB" w:rsidRDefault="00050B57" w:rsidP="00D322D7">
            <w:pPr>
              <w:rPr>
                <w:rFonts w:ascii="Cambria" w:hAnsi="Cambria"/>
                <w:b/>
                <w:lang w:val="en-GB"/>
              </w:rPr>
            </w:pPr>
          </w:p>
        </w:tc>
        <w:tc>
          <w:tcPr>
            <w:tcW w:w="13512" w:type="dxa"/>
            <w:tcBorders>
              <w:left w:val="double" w:sz="4" w:space="0" w:color="auto"/>
              <w:bottom w:val="double" w:sz="4" w:space="0" w:color="auto"/>
            </w:tcBorders>
          </w:tcPr>
          <w:p w:rsidR="00050B57" w:rsidRPr="004E1D5D" w:rsidRDefault="00050B57" w:rsidP="00B854F0">
            <w:pPr>
              <w:jc w:val="both"/>
              <w:rPr>
                <w:rFonts w:ascii="Cambria" w:hAnsi="Cambria"/>
                <w:b/>
                <w:lang w:val="en-US"/>
              </w:rPr>
            </w:pPr>
            <w:r w:rsidRPr="004E1D5D">
              <w:rPr>
                <w:rFonts w:ascii="Cambria" w:hAnsi="Cambria"/>
                <w:b/>
                <w:lang w:val="en-US"/>
              </w:rPr>
              <w:t>Point 21:</w:t>
            </w:r>
          </w:p>
          <w:p w:rsidR="00050B57" w:rsidRPr="004E1D5D" w:rsidRDefault="00050B57" w:rsidP="00B854F0">
            <w:pPr>
              <w:jc w:val="both"/>
              <w:rPr>
                <w:rFonts w:ascii="Cambria" w:hAnsi="Cambria"/>
                <w:lang w:val="en-US"/>
              </w:rPr>
            </w:pPr>
            <w:r w:rsidRPr="004E1D5D">
              <w:rPr>
                <w:rFonts w:ascii="Cambria" w:hAnsi="Cambria"/>
                <w:lang w:val="en-US"/>
              </w:rPr>
              <w:t>To underline importance of integrating policies and practices for disaster risk management with the mainstream concerns of countries, communities, authorities and all-stakeholders, including economic growth, employment, livelihoods, social welfare and such.</w:t>
            </w:r>
          </w:p>
          <w:p w:rsidR="00050B57" w:rsidRPr="004E1D5D" w:rsidRDefault="00050B57" w:rsidP="00B854F0">
            <w:pPr>
              <w:jc w:val="both"/>
              <w:rPr>
                <w:rFonts w:ascii="Cambria" w:hAnsi="Cambria"/>
                <w:lang w:val="en-US"/>
              </w:rPr>
            </w:pPr>
          </w:p>
          <w:p w:rsidR="00050B57" w:rsidRPr="004E1D5D" w:rsidRDefault="00050B57" w:rsidP="00B854F0">
            <w:pPr>
              <w:jc w:val="both"/>
              <w:rPr>
                <w:rFonts w:ascii="Cambria" w:hAnsi="Cambria"/>
                <w:lang w:val="en-US"/>
              </w:rPr>
            </w:pPr>
            <w:r w:rsidRPr="004E1D5D">
              <w:rPr>
                <w:rFonts w:ascii="Cambria" w:hAnsi="Cambria"/>
                <w:b/>
                <w:lang w:val="en-US"/>
              </w:rPr>
              <w:t xml:space="preserve">Example; </w:t>
            </w:r>
            <w:r w:rsidRPr="004E1D5D">
              <w:rPr>
                <w:rFonts w:ascii="Cambria" w:hAnsi="Cambria"/>
                <w:lang w:val="en-US"/>
              </w:rPr>
              <w:t xml:space="preserve">The main aim of the Turkish Disaster Data Bank (TABB) is capacity building for disaster preparedness and mitigation activities. TABB collects all available resources and documentation as well as disaster data to </w:t>
            </w:r>
            <w:r w:rsidR="004E1D5D" w:rsidRPr="004E1D5D">
              <w:rPr>
                <w:rFonts w:ascii="Cambria" w:hAnsi="Cambria"/>
                <w:lang w:val="en-US"/>
              </w:rPr>
              <w:t>analyses</w:t>
            </w:r>
            <w:r w:rsidRPr="004E1D5D">
              <w:rPr>
                <w:rFonts w:ascii="Cambria" w:hAnsi="Cambria"/>
                <w:lang w:val="en-US"/>
              </w:rPr>
              <w:t>. That helps to improve and strengthen natural, technological and man-made disaster studies. Disaster documentation and data analysis module meet in the same platform in TABB.</w:t>
            </w:r>
          </w:p>
          <w:p w:rsidR="00F81816" w:rsidRPr="004E1D5D" w:rsidRDefault="00F81816" w:rsidP="00B854F0">
            <w:pPr>
              <w:jc w:val="both"/>
              <w:rPr>
                <w:rFonts w:ascii="Cambria" w:hAnsi="Cambria"/>
                <w:lang w:val="en-US"/>
              </w:rPr>
            </w:pPr>
          </w:p>
          <w:p w:rsidR="00F81816" w:rsidRPr="004E1D5D" w:rsidRDefault="00F81816" w:rsidP="00B854F0">
            <w:pPr>
              <w:jc w:val="both"/>
              <w:rPr>
                <w:rFonts w:ascii="Cambria" w:hAnsi="Cambria"/>
                <w:lang w:val="en-US"/>
              </w:rPr>
            </w:pPr>
            <w:r w:rsidRPr="004E1D5D">
              <w:rPr>
                <w:rFonts w:ascii="Cambria" w:hAnsi="Cambria"/>
                <w:b/>
                <w:lang w:val="en-US"/>
              </w:rPr>
              <w:lastRenderedPageBreak/>
              <w:t xml:space="preserve">Example; </w:t>
            </w:r>
            <w:r w:rsidRPr="004E1D5D">
              <w:rPr>
                <w:rFonts w:ascii="Cambria" w:hAnsi="Cambria"/>
                <w:lang w:val="en-US"/>
              </w:rPr>
              <w:t>Turkey Disaster Management Strategy Paper has been trying to prepare. Turkey Disaster Management Strategy Paper (TDMSP) is a document that should make all institutions and organizations in the country aware of national disaster management understanding, concepts and strategic objectives; ensure the development of a shared understanding and modality about disaster preparedness; and law down a framework about what must be done and what must be provided to secure efficient disaster management. TDMSP will form the basis for the Response Plan prepared as part of the Strategic Plan of AFAD, as well as other documents to be prepared, such as Risk Mitigation Plan and Recovery Plan.</w:t>
            </w:r>
          </w:p>
          <w:p w:rsidR="00F81816" w:rsidRPr="004E1D5D" w:rsidRDefault="00F81816" w:rsidP="00B854F0">
            <w:pPr>
              <w:jc w:val="both"/>
              <w:rPr>
                <w:rFonts w:ascii="Cambria" w:hAnsi="Cambria"/>
                <w:lang w:val="en-US"/>
              </w:rPr>
            </w:pPr>
          </w:p>
          <w:p w:rsidR="00F81816" w:rsidRPr="004E1D5D" w:rsidRDefault="00F81816" w:rsidP="004E1D5D">
            <w:pPr>
              <w:autoSpaceDE w:val="0"/>
              <w:autoSpaceDN w:val="0"/>
              <w:adjustRightInd w:val="0"/>
              <w:jc w:val="both"/>
              <w:rPr>
                <w:rFonts w:ascii="Cambria" w:hAnsi="Cambria"/>
                <w:lang w:val="en-US"/>
              </w:rPr>
            </w:pPr>
            <w:r w:rsidRPr="004E1D5D">
              <w:rPr>
                <w:rFonts w:ascii="Cambria" w:hAnsi="Cambria"/>
                <w:b/>
                <w:lang w:val="en-US"/>
              </w:rPr>
              <w:t>Example;</w:t>
            </w:r>
            <w:r w:rsidR="004E1D5D">
              <w:rPr>
                <w:rFonts w:ascii="Cambria" w:hAnsi="Cambria"/>
                <w:lang w:val="en-US"/>
              </w:rPr>
              <w:t xml:space="preserve"> </w:t>
            </w:r>
            <w:r w:rsidRPr="004E1D5D">
              <w:rPr>
                <w:rFonts w:ascii="Cambria" w:hAnsi="Cambria"/>
                <w:lang w:val="en-US"/>
              </w:rPr>
              <w:t>It</w:t>
            </w:r>
            <w:r w:rsidR="004E1D5D">
              <w:rPr>
                <w:rFonts w:ascii="Cambria" w:hAnsi="Cambria"/>
                <w:lang w:val="en-US"/>
              </w:rPr>
              <w:t xml:space="preserve"> is a fact that Turkey has all </w:t>
            </w:r>
            <w:r w:rsidRPr="004E1D5D">
              <w:rPr>
                <w:rFonts w:ascii="Cambria" w:hAnsi="Cambria"/>
                <w:lang w:val="en-US"/>
              </w:rPr>
              <w:t>c</w:t>
            </w:r>
            <w:r w:rsidR="004E1D5D">
              <w:rPr>
                <w:rFonts w:ascii="Cambria" w:hAnsi="Cambria"/>
                <w:lang w:val="en-US"/>
              </w:rPr>
              <w:t xml:space="preserve">onditions required for natural </w:t>
            </w:r>
            <w:r w:rsidRPr="004E1D5D">
              <w:rPr>
                <w:rFonts w:ascii="Cambria" w:hAnsi="Cambria"/>
                <w:lang w:val="en-US"/>
              </w:rPr>
              <w:t xml:space="preserve">disasters due to its geologic, geomorphologic, and </w:t>
            </w:r>
            <w:proofErr w:type="gramStart"/>
            <w:r w:rsidRPr="004E1D5D">
              <w:rPr>
                <w:rFonts w:ascii="Cambria" w:hAnsi="Cambria"/>
                <w:lang w:val="en-US"/>
              </w:rPr>
              <w:t>climate  chara</w:t>
            </w:r>
            <w:r w:rsidR="004E1D5D">
              <w:rPr>
                <w:rFonts w:ascii="Cambria" w:hAnsi="Cambria"/>
                <w:lang w:val="en-US"/>
              </w:rPr>
              <w:t>cteristics</w:t>
            </w:r>
            <w:proofErr w:type="gramEnd"/>
            <w:r w:rsidR="004E1D5D">
              <w:rPr>
                <w:rFonts w:ascii="Cambria" w:hAnsi="Cambria"/>
                <w:lang w:val="en-US"/>
              </w:rPr>
              <w:t xml:space="preserve">. Landslides are the </w:t>
            </w:r>
            <w:r w:rsidR="00D80061" w:rsidRPr="004E1D5D">
              <w:rPr>
                <w:rFonts w:ascii="Cambria" w:hAnsi="Cambria"/>
                <w:lang w:val="en-US"/>
              </w:rPr>
              <w:t xml:space="preserve">disaster type having the </w:t>
            </w:r>
            <w:proofErr w:type="gramStart"/>
            <w:r w:rsidR="00D80061" w:rsidRPr="004E1D5D">
              <w:rPr>
                <w:rFonts w:ascii="Cambria" w:hAnsi="Cambria"/>
                <w:lang w:val="en-US"/>
              </w:rPr>
              <w:t xml:space="preserve">most  </w:t>
            </w:r>
            <w:r w:rsidRPr="004E1D5D">
              <w:rPr>
                <w:rFonts w:ascii="Cambria" w:hAnsi="Cambria"/>
                <w:lang w:val="en-US"/>
              </w:rPr>
              <w:t>damagi</w:t>
            </w:r>
            <w:r w:rsidR="00D80061" w:rsidRPr="004E1D5D">
              <w:rPr>
                <w:rFonts w:ascii="Cambria" w:hAnsi="Cambria"/>
                <w:lang w:val="en-US"/>
              </w:rPr>
              <w:t>ng</w:t>
            </w:r>
            <w:proofErr w:type="gramEnd"/>
            <w:r w:rsidR="00D80061" w:rsidRPr="004E1D5D">
              <w:rPr>
                <w:rFonts w:ascii="Cambria" w:hAnsi="Cambria"/>
                <w:lang w:val="en-US"/>
              </w:rPr>
              <w:t xml:space="preserve"> effect after the earthquake  </w:t>
            </w:r>
            <w:r w:rsidRPr="004E1D5D">
              <w:rPr>
                <w:rFonts w:ascii="Cambria" w:hAnsi="Cambria"/>
                <w:lang w:val="en-US"/>
              </w:rPr>
              <w:t xml:space="preserve">for Turkey. Mass </w:t>
            </w:r>
            <w:proofErr w:type="gramStart"/>
            <w:r w:rsidRPr="004E1D5D">
              <w:rPr>
                <w:rFonts w:ascii="Cambria" w:hAnsi="Cambria"/>
                <w:lang w:val="en-US"/>
              </w:rPr>
              <w:t>mov</w:t>
            </w:r>
            <w:r w:rsidR="00D80061" w:rsidRPr="004E1D5D">
              <w:rPr>
                <w:rFonts w:ascii="Cambria" w:hAnsi="Cambria"/>
                <w:lang w:val="en-US"/>
              </w:rPr>
              <w:t xml:space="preserve">ement  </w:t>
            </w:r>
            <w:r w:rsidR="004E1D5D" w:rsidRPr="004E1D5D">
              <w:rPr>
                <w:rFonts w:ascii="Cambria" w:hAnsi="Cambria"/>
                <w:lang w:val="en-US"/>
              </w:rPr>
              <w:t>guidelines</w:t>
            </w:r>
            <w:proofErr w:type="gramEnd"/>
            <w:r w:rsidR="004E1D5D" w:rsidRPr="004E1D5D">
              <w:rPr>
                <w:rFonts w:ascii="Cambria" w:hAnsi="Cambria"/>
                <w:lang w:val="en-US"/>
              </w:rPr>
              <w:t xml:space="preserve"> prepared by AFAD  </w:t>
            </w:r>
            <w:r w:rsidRPr="004E1D5D">
              <w:rPr>
                <w:rFonts w:ascii="Cambria" w:hAnsi="Cambria"/>
                <w:lang w:val="en-US"/>
              </w:rPr>
              <w:t>f</w:t>
            </w:r>
            <w:r w:rsidR="00D80061" w:rsidRPr="004E1D5D">
              <w:rPr>
                <w:rFonts w:ascii="Cambria" w:hAnsi="Cambria"/>
                <w:lang w:val="en-US"/>
              </w:rPr>
              <w:t xml:space="preserve">or the production of landslide  and rock-fall disaster hazard  maps include a “practical”  methodology that provides  </w:t>
            </w:r>
            <w:r w:rsidRPr="004E1D5D">
              <w:rPr>
                <w:rFonts w:ascii="Cambria" w:hAnsi="Cambria"/>
                <w:lang w:val="en-US"/>
              </w:rPr>
              <w:t xml:space="preserve">support in applications in </w:t>
            </w:r>
            <w:r w:rsidR="004E1D5D" w:rsidRPr="004E1D5D">
              <w:rPr>
                <w:rFonts w:ascii="Cambria" w:hAnsi="Cambria"/>
                <w:lang w:val="en-US"/>
              </w:rPr>
              <w:t xml:space="preserve"> </w:t>
            </w:r>
            <w:r w:rsidRPr="004E1D5D">
              <w:rPr>
                <w:rFonts w:ascii="Cambria" w:hAnsi="Cambria"/>
                <w:lang w:val="en-US"/>
              </w:rPr>
              <w:t>ad</w:t>
            </w:r>
            <w:r w:rsidR="00D80061" w:rsidRPr="004E1D5D">
              <w:rPr>
                <w:rFonts w:ascii="Cambria" w:hAnsi="Cambria"/>
                <w:lang w:val="en-US"/>
              </w:rPr>
              <w:t xml:space="preserve">dition to general and technical </w:t>
            </w:r>
            <w:r w:rsidRPr="004E1D5D">
              <w:rPr>
                <w:rFonts w:ascii="Cambria" w:hAnsi="Cambria"/>
                <w:lang w:val="en-US"/>
              </w:rPr>
              <w:t xml:space="preserve"> information.</w:t>
            </w:r>
          </w:p>
          <w:p w:rsidR="00D80061" w:rsidRPr="004E1D5D" w:rsidRDefault="00D80061" w:rsidP="00D80061">
            <w:pPr>
              <w:autoSpaceDE w:val="0"/>
              <w:autoSpaceDN w:val="0"/>
              <w:adjustRightInd w:val="0"/>
              <w:rPr>
                <w:rFonts w:ascii="Cambria" w:hAnsi="Cambria"/>
                <w:lang w:val="en-US"/>
              </w:rPr>
            </w:pPr>
          </w:p>
        </w:tc>
      </w:tr>
      <w:tr w:rsidR="00D80061" w:rsidRPr="007978BB" w:rsidTr="004E1D5D">
        <w:trPr>
          <w:trHeight w:val="1455"/>
        </w:trPr>
        <w:tc>
          <w:tcPr>
            <w:tcW w:w="2223" w:type="dxa"/>
            <w:tcBorders>
              <w:bottom w:val="double" w:sz="4" w:space="0" w:color="auto"/>
              <w:right w:val="double" w:sz="4" w:space="0" w:color="auto"/>
            </w:tcBorders>
            <w:shd w:val="clear" w:color="auto" w:fill="E7E6E6" w:themeFill="background2"/>
          </w:tcPr>
          <w:p w:rsidR="00D80061" w:rsidRPr="007978BB" w:rsidRDefault="00D80061" w:rsidP="00D322D7">
            <w:pPr>
              <w:rPr>
                <w:rFonts w:ascii="Cambria" w:hAnsi="Cambria"/>
                <w:b/>
                <w:lang w:val="en-GB"/>
              </w:rPr>
            </w:pPr>
          </w:p>
        </w:tc>
        <w:tc>
          <w:tcPr>
            <w:tcW w:w="13512" w:type="dxa"/>
            <w:tcBorders>
              <w:left w:val="double" w:sz="4" w:space="0" w:color="auto"/>
              <w:bottom w:val="double" w:sz="4" w:space="0" w:color="auto"/>
            </w:tcBorders>
          </w:tcPr>
          <w:p w:rsidR="00D80061" w:rsidRPr="007978BB" w:rsidRDefault="00D80061" w:rsidP="00B854F0">
            <w:pPr>
              <w:jc w:val="both"/>
              <w:rPr>
                <w:rFonts w:ascii="Cambria" w:hAnsi="Cambria"/>
                <w:b/>
                <w:lang w:val="en-GB"/>
              </w:rPr>
            </w:pPr>
            <w:r w:rsidRPr="007978BB">
              <w:rPr>
                <w:rFonts w:ascii="Cambria" w:hAnsi="Cambria"/>
                <w:b/>
                <w:lang w:val="en-GB"/>
              </w:rPr>
              <w:t>Point 22 / a:</w:t>
            </w:r>
          </w:p>
          <w:p w:rsidR="00D80061" w:rsidRPr="007978BB" w:rsidRDefault="00D80061" w:rsidP="00B854F0">
            <w:pPr>
              <w:jc w:val="both"/>
              <w:rPr>
                <w:rFonts w:ascii="Cambria" w:hAnsi="Cambria"/>
                <w:i/>
                <w:lang w:val="en-GB"/>
              </w:rPr>
            </w:pPr>
            <w:r w:rsidRPr="007978BB">
              <w:rPr>
                <w:rFonts w:ascii="Cambria" w:hAnsi="Cambria"/>
                <w:lang w:val="en-GB"/>
              </w:rPr>
              <w:t xml:space="preserve">Extending definition: To add </w:t>
            </w:r>
            <w:r w:rsidRPr="007978BB">
              <w:rPr>
                <w:rFonts w:ascii="Cambria" w:hAnsi="Cambria"/>
                <w:i/>
                <w:lang w:val="en-GB"/>
              </w:rPr>
              <w:t>“</w:t>
            </w:r>
            <w:proofErr w:type="gramStart"/>
            <w:r w:rsidRPr="007978BB">
              <w:rPr>
                <w:rFonts w:ascii="Cambria" w:hAnsi="Cambria"/>
                <w:i/>
                <w:lang w:val="en-GB"/>
              </w:rPr>
              <w:t>..existing</w:t>
            </w:r>
            <w:proofErr w:type="gramEnd"/>
            <w:r w:rsidRPr="007978BB">
              <w:rPr>
                <w:rFonts w:ascii="Cambria" w:hAnsi="Cambria"/>
                <w:i/>
                <w:lang w:val="en-GB"/>
              </w:rPr>
              <w:t xml:space="preserve">, emerging and new sources of” risks. </w:t>
            </w:r>
          </w:p>
          <w:p w:rsidR="00D80061" w:rsidRPr="007978BB" w:rsidRDefault="00D80061" w:rsidP="00B854F0">
            <w:pPr>
              <w:jc w:val="both"/>
              <w:rPr>
                <w:rFonts w:ascii="Cambria" w:hAnsi="Cambria"/>
                <w:b/>
                <w:lang w:val="en-GB"/>
              </w:rPr>
            </w:pPr>
          </w:p>
          <w:p w:rsidR="00D80061" w:rsidRPr="007978BB" w:rsidRDefault="00D80061" w:rsidP="00B854F0">
            <w:pPr>
              <w:jc w:val="both"/>
              <w:rPr>
                <w:rFonts w:ascii="Cambria" w:hAnsi="Cambria"/>
                <w:lang w:val="en-GB"/>
              </w:rPr>
            </w:pPr>
            <w:r w:rsidRPr="007978BB">
              <w:rPr>
                <w:rFonts w:ascii="Cambria" w:hAnsi="Cambria"/>
                <w:lang w:val="en-GB"/>
              </w:rPr>
              <w:t>To emphasize, as a pre-disaster risk reduction activity, importance of generating catchment-based multi-risk maps (flood, avalanche, landslide, rock falls) to be used in integrated catchment management and planning to reduce future disaster risks.</w:t>
            </w:r>
          </w:p>
          <w:p w:rsidR="00D80061" w:rsidRPr="007978BB" w:rsidRDefault="00D80061" w:rsidP="00B854F0">
            <w:pPr>
              <w:jc w:val="both"/>
              <w:rPr>
                <w:rFonts w:ascii="Cambria" w:hAnsi="Cambria"/>
                <w:b/>
                <w:lang w:val="en-GB"/>
              </w:rPr>
            </w:pPr>
          </w:p>
        </w:tc>
      </w:tr>
      <w:tr w:rsidR="00D80061" w:rsidRPr="007978BB" w:rsidTr="004E1D5D">
        <w:trPr>
          <w:trHeight w:val="1455"/>
        </w:trPr>
        <w:tc>
          <w:tcPr>
            <w:tcW w:w="2223" w:type="dxa"/>
            <w:tcBorders>
              <w:bottom w:val="double" w:sz="4" w:space="0" w:color="auto"/>
              <w:right w:val="double" w:sz="4" w:space="0" w:color="auto"/>
            </w:tcBorders>
            <w:shd w:val="clear" w:color="auto" w:fill="E7E6E6" w:themeFill="background2"/>
          </w:tcPr>
          <w:p w:rsidR="00D80061" w:rsidRPr="007978BB" w:rsidRDefault="00D80061" w:rsidP="00D322D7">
            <w:pPr>
              <w:rPr>
                <w:rFonts w:ascii="Cambria" w:hAnsi="Cambria"/>
                <w:b/>
                <w:lang w:val="en-GB"/>
              </w:rPr>
            </w:pPr>
          </w:p>
        </w:tc>
        <w:tc>
          <w:tcPr>
            <w:tcW w:w="13512" w:type="dxa"/>
            <w:tcBorders>
              <w:left w:val="double" w:sz="4" w:space="0" w:color="auto"/>
              <w:bottom w:val="double" w:sz="4" w:space="0" w:color="auto"/>
            </w:tcBorders>
          </w:tcPr>
          <w:p w:rsidR="00D80061" w:rsidRPr="007978BB" w:rsidRDefault="00D80061" w:rsidP="00B854F0">
            <w:pPr>
              <w:jc w:val="both"/>
              <w:rPr>
                <w:rFonts w:ascii="Cambria" w:hAnsi="Cambria"/>
                <w:b/>
                <w:lang w:val="en-GB"/>
              </w:rPr>
            </w:pPr>
            <w:r w:rsidRPr="007978BB">
              <w:rPr>
                <w:rFonts w:ascii="Cambria" w:hAnsi="Cambria"/>
                <w:b/>
                <w:lang w:val="en-GB"/>
              </w:rPr>
              <w:t>Point 24:</w:t>
            </w:r>
          </w:p>
          <w:p w:rsidR="00D80061" w:rsidRPr="007978BB" w:rsidRDefault="00D80061" w:rsidP="00B854F0">
            <w:pPr>
              <w:jc w:val="both"/>
              <w:rPr>
                <w:rFonts w:ascii="Cambria" w:hAnsi="Cambria"/>
                <w:b/>
                <w:lang w:val="en-GB"/>
              </w:rPr>
            </w:pPr>
            <w:r w:rsidRPr="007978BB">
              <w:rPr>
                <w:rFonts w:ascii="Cambria" w:hAnsi="Cambria"/>
                <w:lang w:val="en-GB"/>
              </w:rPr>
              <w:t>To underline, briefly, importance of integrating disaster risk management with sound analysis of real imperatives of the</w:t>
            </w:r>
            <w:r w:rsidRPr="007978BB">
              <w:rPr>
                <w:rFonts w:ascii="Cambria" w:hAnsi="Cambria"/>
                <w:b/>
                <w:lang w:val="en-GB"/>
              </w:rPr>
              <w:t xml:space="preserve"> </w:t>
            </w:r>
            <w:r w:rsidRPr="007978BB">
              <w:rPr>
                <w:rFonts w:ascii="Cambria" w:hAnsi="Cambria"/>
                <w:lang w:val="en-GB"/>
              </w:rPr>
              <w:t>countries and communities to ensure political, social, and economic commitment.</w:t>
            </w:r>
            <w:r w:rsidRPr="007978BB">
              <w:rPr>
                <w:rFonts w:ascii="Cambria" w:hAnsi="Cambria"/>
                <w:b/>
                <w:lang w:val="en-GB"/>
              </w:rPr>
              <w:t xml:space="preserve"> </w:t>
            </w:r>
          </w:p>
          <w:p w:rsidR="00D80061" w:rsidRPr="007978BB" w:rsidRDefault="00D80061" w:rsidP="00B854F0">
            <w:pPr>
              <w:jc w:val="both"/>
              <w:rPr>
                <w:rFonts w:ascii="Cambria" w:hAnsi="Cambria"/>
                <w:b/>
                <w:lang w:val="en-GB"/>
              </w:rPr>
            </w:pPr>
          </w:p>
        </w:tc>
      </w:tr>
      <w:tr w:rsidR="00D80061" w:rsidRPr="007978BB" w:rsidTr="004E1D5D">
        <w:trPr>
          <w:trHeight w:val="1130"/>
        </w:trPr>
        <w:tc>
          <w:tcPr>
            <w:tcW w:w="2223" w:type="dxa"/>
            <w:tcBorders>
              <w:bottom w:val="double" w:sz="4" w:space="0" w:color="auto"/>
              <w:right w:val="double" w:sz="4" w:space="0" w:color="auto"/>
            </w:tcBorders>
            <w:shd w:val="clear" w:color="auto" w:fill="E7E6E6" w:themeFill="background2"/>
          </w:tcPr>
          <w:p w:rsidR="00D80061" w:rsidRPr="007978BB" w:rsidRDefault="00D80061" w:rsidP="00D322D7">
            <w:pPr>
              <w:rPr>
                <w:rFonts w:ascii="Cambria" w:hAnsi="Cambria"/>
                <w:b/>
                <w:lang w:val="en-GB"/>
              </w:rPr>
            </w:pPr>
          </w:p>
        </w:tc>
        <w:tc>
          <w:tcPr>
            <w:tcW w:w="13512" w:type="dxa"/>
            <w:tcBorders>
              <w:left w:val="double" w:sz="4" w:space="0" w:color="auto"/>
              <w:bottom w:val="double" w:sz="4" w:space="0" w:color="auto"/>
            </w:tcBorders>
          </w:tcPr>
          <w:p w:rsidR="00D80061" w:rsidRPr="007978BB" w:rsidRDefault="00D80061" w:rsidP="00B854F0">
            <w:pPr>
              <w:jc w:val="both"/>
              <w:rPr>
                <w:rFonts w:ascii="Cambria" w:hAnsi="Cambria"/>
                <w:b/>
                <w:lang w:val="en-GB"/>
              </w:rPr>
            </w:pPr>
            <w:r w:rsidRPr="007978BB">
              <w:rPr>
                <w:rFonts w:ascii="Cambria" w:hAnsi="Cambria"/>
                <w:b/>
                <w:lang w:val="en-GB"/>
              </w:rPr>
              <w:t>Point 25 / g:</w:t>
            </w:r>
          </w:p>
          <w:p w:rsidR="00D80061" w:rsidRPr="007978BB" w:rsidRDefault="00D80061" w:rsidP="00B854F0">
            <w:pPr>
              <w:jc w:val="both"/>
              <w:rPr>
                <w:rFonts w:ascii="Cambria" w:hAnsi="Cambria"/>
                <w:b/>
                <w:lang w:val="en-GB"/>
              </w:rPr>
            </w:pPr>
            <w:r w:rsidRPr="007978BB">
              <w:rPr>
                <w:rFonts w:ascii="Cambria" w:hAnsi="Cambria"/>
                <w:lang w:val="en-GB"/>
              </w:rPr>
              <w:t xml:space="preserve">Additional statement: g) </w:t>
            </w:r>
            <w:r w:rsidRPr="007978BB">
              <w:rPr>
                <w:rFonts w:ascii="Cambria" w:hAnsi="Cambria"/>
                <w:i/>
                <w:lang w:val="en-GB"/>
              </w:rPr>
              <w:t>…; foster interactive sharing and capacity development through change of experts among countries on issues mentioned above.</w:t>
            </w:r>
          </w:p>
        </w:tc>
      </w:tr>
      <w:tr w:rsidR="005976EC" w:rsidRPr="007978BB" w:rsidTr="004E1D5D">
        <w:trPr>
          <w:trHeight w:val="1130"/>
        </w:trPr>
        <w:tc>
          <w:tcPr>
            <w:tcW w:w="2223" w:type="dxa"/>
            <w:tcBorders>
              <w:bottom w:val="double" w:sz="4" w:space="0" w:color="auto"/>
              <w:right w:val="double" w:sz="4" w:space="0" w:color="auto"/>
            </w:tcBorders>
            <w:shd w:val="clear" w:color="auto" w:fill="E7E6E6" w:themeFill="background2"/>
          </w:tcPr>
          <w:p w:rsidR="005976EC" w:rsidRPr="007978BB" w:rsidRDefault="005976EC" w:rsidP="00D322D7">
            <w:pPr>
              <w:rPr>
                <w:rFonts w:ascii="Cambria" w:hAnsi="Cambria"/>
                <w:b/>
                <w:lang w:val="en-GB"/>
              </w:rPr>
            </w:pPr>
          </w:p>
        </w:tc>
        <w:tc>
          <w:tcPr>
            <w:tcW w:w="13512" w:type="dxa"/>
            <w:tcBorders>
              <w:left w:val="double" w:sz="4" w:space="0" w:color="auto"/>
              <w:bottom w:val="double" w:sz="4" w:space="0" w:color="auto"/>
            </w:tcBorders>
          </w:tcPr>
          <w:p w:rsidR="005976EC" w:rsidRPr="007978BB" w:rsidRDefault="005976EC" w:rsidP="005976EC">
            <w:pPr>
              <w:jc w:val="both"/>
              <w:rPr>
                <w:rFonts w:ascii="Cambria" w:hAnsi="Cambria"/>
                <w:b/>
                <w:lang w:val="en-GB"/>
              </w:rPr>
            </w:pPr>
            <w:r w:rsidRPr="007978BB">
              <w:rPr>
                <w:rFonts w:ascii="Cambria" w:hAnsi="Cambria"/>
                <w:b/>
                <w:lang w:val="en-GB"/>
              </w:rPr>
              <w:t xml:space="preserve">Point </w:t>
            </w:r>
            <w:r>
              <w:rPr>
                <w:rFonts w:ascii="Cambria" w:hAnsi="Cambria"/>
                <w:b/>
                <w:lang w:val="en-GB"/>
              </w:rPr>
              <w:t>25 / f</w:t>
            </w:r>
            <w:r w:rsidRPr="007978BB">
              <w:rPr>
                <w:rFonts w:ascii="Cambria" w:hAnsi="Cambria"/>
                <w:b/>
                <w:lang w:val="en-GB"/>
              </w:rPr>
              <w:t>:</w:t>
            </w:r>
            <w:r w:rsidR="00E17148">
              <w:rPr>
                <w:rFonts w:ascii="Cambria" w:hAnsi="Cambria"/>
                <w:b/>
                <w:lang w:val="en-GB"/>
              </w:rPr>
              <w:t xml:space="preserve"> - </w:t>
            </w:r>
          </w:p>
          <w:p w:rsidR="007D1D8F" w:rsidRDefault="005976EC" w:rsidP="007D1D8F">
            <w:pPr>
              <w:jc w:val="both"/>
              <w:rPr>
                <w:rFonts w:ascii="Cambria" w:hAnsi="Cambria"/>
                <w:b/>
                <w:lang w:val="en-GB"/>
              </w:rPr>
            </w:pPr>
            <w:r>
              <w:rPr>
                <w:rFonts w:ascii="Cambria" w:hAnsi="Cambria"/>
                <w:b/>
                <w:lang w:val="en-GB"/>
              </w:rPr>
              <w:t>This paragrap</w:t>
            </w:r>
            <w:r w:rsidR="007D1D8F">
              <w:rPr>
                <w:rFonts w:ascii="Cambria" w:hAnsi="Cambria"/>
                <w:b/>
                <w:lang w:val="en-GB"/>
              </w:rPr>
              <w:t>h is about responsibility about</w:t>
            </w:r>
            <w:r>
              <w:rPr>
                <w:rFonts w:ascii="Cambria" w:hAnsi="Cambria"/>
                <w:b/>
                <w:lang w:val="en-GB"/>
              </w:rPr>
              <w:t xml:space="preserve"> central </w:t>
            </w:r>
            <w:proofErr w:type="gramStart"/>
            <w:r>
              <w:rPr>
                <w:rFonts w:ascii="Cambria" w:hAnsi="Cambria"/>
                <w:b/>
                <w:lang w:val="en-GB"/>
              </w:rPr>
              <w:t xml:space="preserve">government </w:t>
            </w:r>
            <w:r w:rsidR="007D1D8F">
              <w:rPr>
                <w:rFonts w:ascii="Cambria" w:hAnsi="Cambria"/>
                <w:b/>
                <w:lang w:val="en-GB"/>
              </w:rPr>
              <w:t>,</w:t>
            </w:r>
            <w:proofErr w:type="gramEnd"/>
            <w:r w:rsidR="007D1D8F">
              <w:rPr>
                <w:rFonts w:ascii="Cambria" w:hAnsi="Cambria"/>
                <w:b/>
                <w:lang w:val="en-GB"/>
              </w:rPr>
              <w:t xml:space="preserve"> and</w:t>
            </w:r>
            <w:r>
              <w:rPr>
                <w:rFonts w:ascii="Cambria" w:hAnsi="Cambria"/>
                <w:b/>
                <w:lang w:val="en-GB"/>
              </w:rPr>
              <w:t xml:space="preserve"> it cannot be change. </w:t>
            </w:r>
            <w:r w:rsidR="007D1D8F">
              <w:rPr>
                <w:rFonts w:ascii="Cambria" w:hAnsi="Cambria"/>
                <w:lang w:val="en-GB"/>
              </w:rPr>
              <w:t xml:space="preserve">Also response phase is second phase in DRR process. Prevention is first phase and it is directly interested with central government. Central government’s budget, </w:t>
            </w:r>
            <w:proofErr w:type="spellStart"/>
            <w:r w:rsidR="007D1D8F">
              <w:rPr>
                <w:rFonts w:ascii="Cambria" w:hAnsi="Cambria"/>
                <w:lang w:val="en-GB"/>
              </w:rPr>
              <w:t>govermental</w:t>
            </w:r>
            <w:proofErr w:type="spellEnd"/>
            <w:r w:rsidR="007D1D8F">
              <w:rPr>
                <w:rFonts w:ascii="Cambria" w:hAnsi="Cambria"/>
                <w:lang w:val="en-GB"/>
              </w:rPr>
              <w:t xml:space="preserve"> money is more important parameter during prevention. People need central authority. </w:t>
            </w:r>
          </w:p>
          <w:p w:rsidR="007D1D8F" w:rsidRDefault="007D1D8F" w:rsidP="007D1D8F">
            <w:pPr>
              <w:jc w:val="both"/>
              <w:rPr>
                <w:rFonts w:ascii="Cambria" w:hAnsi="Cambria"/>
                <w:b/>
                <w:lang w:val="en-GB"/>
              </w:rPr>
            </w:pPr>
          </w:p>
          <w:p w:rsidR="005976EC" w:rsidRDefault="007D1D8F" w:rsidP="007D1D8F">
            <w:pPr>
              <w:jc w:val="both"/>
              <w:rPr>
                <w:rFonts w:ascii="Cambria" w:hAnsi="Cambria"/>
                <w:lang w:val="en-GB"/>
              </w:rPr>
            </w:pPr>
            <w:r>
              <w:rPr>
                <w:rFonts w:ascii="Cambria" w:hAnsi="Cambria"/>
                <w:b/>
                <w:lang w:val="en-GB"/>
              </w:rPr>
              <w:t xml:space="preserve">Example; </w:t>
            </w:r>
            <w:r w:rsidR="005976EC" w:rsidRPr="007D1D8F">
              <w:rPr>
                <w:rFonts w:ascii="Cambria" w:hAnsi="Cambria"/>
                <w:lang w:val="en-GB"/>
              </w:rPr>
              <w:t xml:space="preserve">All duties concerning pre-disaster and post-disaster activities, emergencies and civil defence were incorporated under AFAD with a law passed in 2009 for the purpose of ensuring effective disaster management. In line with the lessons learned from disasters and taking into consideration the changes in the world, the Republic of Turkey started to work on developing a system in which the central level would be </w:t>
            </w:r>
            <w:r w:rsidRPr="007D1D8F">
              <w:rPr>
                <w:rFonts w:ascii="Cambria" w:hAnsi="Cambria"/>
                <w:lang w:val="en-GB"/>
              </w:rPr>
              <w:t xml:space="preserve">responsible for </w:t>
            </w:r>
            <w:r w:rsidR="005976EC" w:rsidRPr="007D1D8F">
              <w:rPr>
                <w:rFonts w:ascii="Cambria" w:hAnsi="Cambria"/>
                <w:lang w:val="en-GB"/>
              </w:rPr>
              <w:t>coordination and the local level would</w:t>
            </w:r>
            <w:r w:rsidRPr="007D1D8F">
              <w:rPr>
                <w:rFonts w:ascii="Cambria" w:hAnsi="Cambria"/>
                <w:lang w:val="en-GB"/>
              </w:rPr>
              <w:t xml:space="preserve"> be strengthened </w:t>
            </w:r>
            <w:r w:rsidR="005976EC" w:rsidRPr="007D1D8F">
              <w:rPr>
                <w:rFonts w:ascii="Cambria" w:hAnsi="Cambria"/>
                <w:lang w:val="en-GB"/>
              </w:rPr>
              <w:t>as it was understood that loca</w:t>
            </w:r>
            <w:r>
              <w:rPr>
                <w:rFonts w:ascii="Cambria" w:hAnsi="Cambria"/>
                <w:lang w:val="en-GB"/>
              </w:rPr>
              <w:t xml:space="preserve">l management of disasters would </w:t>
            </w:r>
            <w:r w:rsidRPr="007D1D8F">
              <w:rPr>
                <w:rFonts w:ascii="Cambria" w:hAnsi="Cambria"/>
                <w:lang w:val="en-GB"/>
              </w:rPr>
              <w:t xml:space="preserve">be more effective. </w:t>
            </w:r>
            <w:r w:rsidR="005976EC" w:rsidRPr="007D1D8F">
              <w:rPr>
                <w:rFonts w:ascii="Cambria" w:hAnsi="Cambria"/>
                <w:lang w:val="en-GB"/>
              </w:rPr>
              <w:t>As a result of these studies, Law</w:t>
            </w:r>
            <w:r w:rsidRPr="007D1D8F">
              <w:rPr>
                <w:rFonts w:ascii="Cambria" w:hAnsi="Cambria"/>
                <w:lang w:val="en-GB"/>
              </w:rPr>
              <w:t xml:space="preserve"> no.5902 was adopted in 2009 to </w:t>
            </w:r>
            <w:r w:rsidR="005976EC" w:rsidRPr="007D1D8F">
              <w:rPr>
                <w:rFonts w:ascii="Cambria" w:hAnsi="Cambria"/>
                <w:lang w:val="en-GB"/>
              </w:rPr>
              <w:t>eliminate the problem of coordinati</w:t>
            </w:r>
            <w:r w:rsidRPr="007D1D8F">
              <w:rPr>
                <w:rFonts w:ascii="Cambria" w:hAnsi="Cambria"/>
                <w:lang w:val="en-GB"/>
              </w:rPr>
              <w:t xml:space="preserve">on between agencies involved in </w:t>
            </w:r>
            <w:r w:rsidR="005976EC" w:rsidRPr="007D1D8F">
              <w:rPr>
                <w:rFonts w:ascii="Cambria" w:hAnsi="Cambria"/>
                <w:lang w:val="en-GB"/>
              </w:rPr>
              <w:t>the disaster management system; wi</w:t>
            </w:r>
            <w:r w:rsidRPr="007D1D8F">
              <w:rPr>
                <w:rFonts w:ascii="Cambria" w:hAnsi="Cambria"/>
                <w:lang w:val="en-GB"/>
              </w:rPr>
              <w:t xml:space="preserve">th the Law, these three general </w:t>
            </w:r>
            <w:r w:rsidR="005976EC" w:rsidRPr="007D1D8F">
              <w:rPr>
                <w:rFonts w:ascii="Cambria" w:hAnsi="Cambria"/>
                <w:lang w:val="en-GB"/>
              </w:rPr>
              <w:t>directorates were abolished, and the Di</w:t>
            </w:r>
            <w:r w:rsidRPr="007D1D8F">
              <w:rPr>
                <w:rFonts w:ascii="Cambria" w:hAnsi="Cambria"/>
                <w:lang w:val="en-GB"/>
              </w:rPr>
              <w:t xml:space="preserve">saster and Emergency Management </w:t>
            </w:r>
            <w:r w:rsidR="005976EC" w:rsidRPr="007D1D8F">
              <w:rPr>
                <w:rFonts w:ascii="Cambria" w:hAnsi="Cambria"/>
                <w:lang w:val="en-GB"/>
              </w:rPr>
              <w:t>Presidency was establishe</w:t>
            </w:r>
            <w:r w:rsidRPr="007D1D8F">
              <w:rPr>
                <w:rFonts w:ascii="Cambria" w:hAnsi="Cambria"/>
                <w:lang w:val="en-GB"/>
              </w:rPr>
              <w:t xml:space="preserve">d, with Provincial Disaster and </w:t>
            </w:r>
            <w:r w:rsidR="005976EC" w:rsidRPr="007D1D8F">
              <w:rPr>
                <w:rFonts w:ascii="Cambria" w:hAnsi="Cambria"/>
                <w:lang w:val="en-GB"/>
              </w:rPr>
              <w:t>Emergency Directorates established a</w:t>
            </w:r>
            <w:r w:rsidRPr="007D1D8F">
              <w:rPr>
                <w:rFonts w:ascii="Cambria" w:hAnsi="Cambria"/>
                <w:lang w:val="en-GB"/>
              </w:rPr>
              <w:t xml:space="preserve">t the local level in provinces, </w:t>
            </w:r>
            <w:r w:rsidR="005976EC" w:rsidRPr="007D1D8F">
              <w:rPr>
                <w:rFonts w:ascii="Cambria" w:hAnsi="Cambria"/>
                <w:lang w:val="en-GB"/>
              </w:rPr>
              <w:t xml:space="preserve">directly attached to the Governorates. </w:t>
            </w:r>
            <w:r w:rsidRPr="007D1D8F">
              <w:rPr>
                <w:rFonts w:ascii="Cambria" w:hAnsi="Cambria"/>
                <w:lang w:val="en-GB"/>
              </w:rPr>
              <w:t xml:space="preserve">The Law replaced the old crisis </w:t>
            </w:r>
            <w:r w:rsidR="005976EC" w:rsidRPr="007D1D8F">
              <w:rPr>
                <w:rFonts w:ascii="Cambria" w:hAnsi="Cambria"/>
                <w:lang w:val="en-GB"/>
              </w:rPr>
              <w:t>management approach with a new menta</w:t>
            </w:r>
            <w:r w:rsidRPr="007D1D8F">
              <w:rPr>
                <w:rFonts w:ascii="Cambria" w:hAnsi="Cambria"/>
                <w:lang w:val="en-GB"/>
              </w:rPr>
              <w:t xml:space="preserve">lity that gave priority to risk </w:t>
            </w:r>
            <w:r w:rsidR="005976EC" w:rsidRPr="007D1D8F">
              <w:rPr>
                <w:rFonts w:ascii="Cambria" w:hAnsi="Cambria"/>
                <w:lang w:val="en-GB"/>
              </w:rPr>
              <w:t>management.</w:t>
            </w:r>
          </w:p>
          <w:p w:rsidR="007D1D8F" w:rsidRDefault="007D1D8F" w:rsidP="007D1D8F">
            <w:pPr>
              <w:jc w:val="both"/>
              <w:rPr>
                <w:rFonts w:ascii="Cambria" w:hAnsi="Cambria"/>
                <w:lang w:val="en-GB"/>
              </w:rPr>
            </w:pPr>
          </w:p>
          <w:p w:rsidR="007D1D8F" w:rsidRPr="007D1D8F" w:rsidRDefault="007D1D8F" w:rsidP="007D1D8F">
            <w:pPr>
              <w:jc w:val="both"/>
              <w:rPr>
                <w:rFonts w:ascii="Cambria" w:hAnsi="Cambria"/>
                <w:lang w:val="en-GB"/>
              </w:rPr>
            </w:pPr>
          </w:p>
        </w:tc>
      </w:tr>
      <w:tr w:rsidR="007D1D8F" w:rsidRPr="007978BB" w:rsidTr="004E1D5D">
        <w:trPr>
          <w:trHeight w:val="1130"/>
        </w:trPr>
        <w:tc>
          <w:tcPr>
            <w:tcW w:w="2223" w:type="dxa"/>
            <w:tcBorders>
              <w:bottom w:val="double" w:sz="4" w:space="0" w:color="auto"/>
              <w:right w:val="double" w:sz="4" w:space="0" w:color="auto"/>
            </w:tcBorders>
            <w:shd w:val="clear" w:color="auto" w:fill="E7E6E6" w:themeFill="background2"/>
          </w:tcPr>
          <w:p w:rsidR="007D1D8F" w:rsidRPr="007978BB" w:rsidRDefault="007D1D8F" w:rsidP="00D322D7">
            <w:pPr>
              <w:rPr>
                <w:rFonts w:ascii="Cambria" w:hAnsi="Cambria"/>
                <w:b/>
                <w:lang w:val="en-GB"/>
              </w:rPr>
            </w:pPr>
          </w:p>
        </w:tc>
        <w:tc>
          <w:tcPr>
            <w:tcW w:w="13512" w:type="dxa"/>
            <w:tcBorders>
              <w:left w:val="double" w:sz="4" w:space="0" w:color="auto"/>
              <w:bottom w:val="double" w:sz="4" w:space="0" w:color="auto"/>
            </w:tcBorders>
          </w:tcPr>
          <w:p w:rsidR="007D1D8F" w:rsidRDefault="00E17148" w:rsidP="005976EC">
            <w:pPr>
              <w:jc w:val="both"/>
              <w:rPr>
                <w:rFonts w:ascii="Cambria" w:hAnsi="Cambria"/>
                <w:b/>
                <w:lang w:val="en-GB"/>
              </w:rPr>
            </w:pPr>
            <w:r>
              <w:rPr>
                <w:rFonts w:ascii="Cambria" w:hAnsi="Cambria"/>
                <w:b/>
                <w:lang w:val="en-GB"/>
              </w:rPr>
              <w:t xml:space="preserve">Point 27 / </w:t>
            </w:r>
            <w:r w:rsidR="007D1D8F">
              <w:rPr>
                <w:rFonts w:ascii="Cambria" w:hAnsi="Cambria"/>
                <w:b/>
                <w:lang w:val="en-GB"/>
              </w:rPr>
              <w:t xml:space="preserve"> </w:t>
            </w:r>
          </w:p>
          <w:p w:rsidR="007D1D8F" w:rsidRPr="002E02A9" w:rsidRDefault="007D1D8F" w:rsidP="005976EC">
            <w:pPr>
              <w:jc w:val="both"/>
              <w:rPr>
                <w:rFonts w:ascii="Cambria" w:hAnsi="Cambria"/>
                <w:lang w:val="en-GB"/>
              </w:rPr>
            </w:pPr>
            <w:r w:rsidRPr="002E02A9">
              <w:rPr>
                <w:rFonts w:ascii="Cambria" w:hAnsi="Cambria"/>
                <w:lang w:val="en-GB"/>
              </w:rPr>
              <w:t>This paragraph is about prevention and mitigation and it cannot be change. Secretary think this sentences</w:t>
            </w:r>
            <w:proofErr w:type="gramStart"/>
            <w:r w:rsidRPr="002E02A9">
              <w:rPr>
                <w:rFonts w:ascii="Cambria" w:hAnsi="Cambria"/>
                <w:lang w:val="en-GB"/>
              </w:rPr>
              <w:t>;  directly</w:t>
            </w:r>
            <w:proofErr w:type="gramEnd"/>
            <w:r w:rsidRPr="002E02A9">
              <w:rPr>
                <w:rFonts w:ascii="Cambria" w:hAnsi="Cambria"/>
                <w:lang w:val="en-GB"/>
              </w:rPr>
              <w:t xml:space="preserve"> interested pre-zero draft’s 3th pillars (</w:t>
            </w:r>
            <w:proofErr w:type="spellStart"/>
            <w:r w:rsidRPr="002E02A9">
              <w:rPr>
                <w:rFonts w:ascii="Cambria" w:hAnsi="Cambria"/>
                <w:lang w:val="en-GB"/>
              </w:rPr>
              <w:t>preperadness</w:t>
            </w:r>
            <w:proofErr w:type="spellEnd"/>
            <w:r w:rsidRPr="002E02A9">
              <w:rPr>
                <w:rFonts w:ascii="Cambria" w:hAnsi="Cambria"/>
                <w:lang w:val="en-GB"/>
              </w:rPr>
              <w:t xml:space="preserve"> for response , recovery and environmental resilience). </w:t>
            </w:r>
            <w:proofErr w:type="gramStart"/>
            <w:r w:rsidRPr="002E02A9">
              <w:rPr>
                <w:rFonts w:ascii="Cambria" w:hAnsi="Cambria"/>
                <w:lang w:val="en-GB"/>
              </w:rPr>
              <w:t>BUT ,</w:t>
            </w:r>
            <w:proofErr w:type="gramEnd"/>
            <w:r w:rsidRPr="002E02A9">
              <w:rPr>
                <w:rFonts w:ascii="Cambria" w:hAnsi="Cambria"/>
                <w:lang w:val="en-GB"/>
              </w:rPr>
              <w:t xml:space="preserve"> this is about prevention and mitigation phase. </w:t>
            </w:r>
          </w:p>
          <w:p w:rsidR="007D1D8F" w:rsidRPr="002E02A9" w:rsidRDefault="007D1D8F" w:rsidP="005976EC">
            <w:pPr>
              <w:jc w:val="both"/>
              <w:rPr>
                <w:rFonts w:ascii="Cambria" w:hAnsi="Cambria"/>
                <w:lang w:val="en-GB"/>
              </w:rPr>
            </w:pPr>
          </w:p>
          <w:p w:rsidR="007D1D8F" w:rsidRPr="002E02A9" w:rsidRDefault="007D1D8F" w:rsidP="005976EC">
            <w:pPr>
              <w:jc w:val="both"/>
              <w:rPr>
                <w:rFonts w:ascii="Cambria" w:hAnsi="Cambria"/>
                <w:lang w:val="en-GB"/>
              </w:rPr>
            </w:pPr>
            <w:proofErr w:type="gramStart"/>
            <w:r w:rsidRPr="002E02A9">
              <w:rPr>
                <w:rFonts w:ascii="Cambria" w:hAnsi="Cambria"/>
                <w:lang w:val="en-GB"/>
              </w:rPr>
              <w:t>Priority  3’s</w:t>
            </w:r>
            <w:proofErr w:type="gramEnd"/>
            <w:r w:rsidRPr="002E02A9">
              <w:rPr>
                <w:rFonts w:ascii="Cambria" w:hAnsi="Cambria"/>
                <w:lang w:val="en-GB"/>
              </w:rPr>
              <w:t xml:space="preserve"> determination sentences is very </w:t>
            </w:r>
            <w:r w:rsidR="002E02A9" w:rsidRPr="002E02A9">
              <w:rPr>
                <w:rFonts w:ascii="Cambria" w:hAnsi="Cambria"/>
                <w:lang w:val="en-GB"/>
              </w:rPr>
              <w:t xml:space="preserve">wide, it covered all phases. But we will focus only “prevention and </w:t>
            </w:r>
            <w:proofErr w:type="spellStart"/>
            <w:r w:rsidR="002E02A9" w:rsidRPr="002E02A9">
              <w:rPr>
                <w:rFonts w:ascii="Cambria" w:hAnsi="Cambria"/>
                <w:lang w:val="en-GB"/>
              </w:rPr>
              <w:t>mitigaition</w:t>
            </w:r>
            <w:proofErr w:type="spellEnd"/>
            <w:r w:rsidR="002E02A9" w:rsidRPr="002E02A9">
              <w:rPr>
                <w:rFonts w:ascii="Cambria" w:hAnsi="Cambria"/>
                <w:lang w:val="en-GB"/>
              </w:rPr>
              <w:t xml:space="preserve">” at this priority. </w:t>
            </w:r>
          </w:p>
          <w:p w:rsidR="007D1D8F" w:rsidRPr="007978BB" w:rsidRDefault="007D1D8F" w:rsidP="005976EC">
            <w:pPr>
              <w:jc w:val="both"/>
              <w:rPr>
                <w:rFonts w:ascii="Cambria" w:hAnsi="Cambria"/>
                <w:b/>
                <w:lang w:val="en-GB"/>
              </w:rPr>
            </w:pPr>
          </w:p>
        </w:tc>
      </w:tr>
      <w:tr w:rsidR="002E02A9" w:rsidRPr="007978BB" w:rsidTr="004E1D5D">
        <w:trPr>
          <w:trHeight w:val="1063"/>
        </w:trPr>
        <w:tc>
          <w:tcPr>
            <w:tcW w:w="2223" w:type="dxa"/>
            <w:tcBorders>
              <w:bottom w:val="double" w:sz="4" w:space="0" w:color="auto"/>
              <w:right w:val="double" w:sz="4" w:space="0" w:color="auto"/>
            </w:tcBorders>
            <w:shd w:val="clear" w:color="auto" w:fill="E7E6E6" w:themeFill="background2"/>
          </w:tcPr>
          <w:p w:rsidR="002E02A9" w:rsidRPr="007978BB" w:rsidRDefault="002E02A9" w:rsidP="00D322D7">
            <w:pPr>
              <w:rPr>
                <w:rFonts w:ascii="Cambria" w:hAnsi="Cambria"/>
                <w:b/>
                <w:lang w:val="en-GB"/>
              </w:rPr>
            </w:pPr>
          </w:p>
        </w:tc>
        <w:tc>
          <w:tcPr>
            <w:tcW w:w="13512" w:type="dxa"/>
            <w:tcBorders>
              <w:left w:val="double" w:sz="4" w:space="0" w:color="auto"/>
              <w:bottom w:val="double" w:sz="4" w:space="0" w:color="auto"/>
            </w:tcBorders>
          </w:tcPr>
          <w:p w:rsidR="002E02A9" w:rsidRPr="007978BB" w:rsidRDefault="002E02A9" w:rsidP="002E02A9">
            <w:pPr>
              <w:jc w:val="both"/>
              <w:rPr>
                <w:rFonts w:ascii="Cambria" w:hAnsi="Cambria"/>
                <w:b/>
                <w:lang w:val="en-GB"/>
              </w:rPr>
            </w:pPr>
            <w:r>
              <w:rPr>
                <w:rFonts w:ascii="Cambria" w:hAnsi="Cambria"/>
                <w:b/>
                <w:lang w:val="en-GB"/>
              </w:rPr>
              <w:t>Point 28 / b</w:t>
            </w:r>
            <w:r w:rsidRPr="007978BB">
              <w:rPr>
                <w:rFonts w:ascii="Cambria" w:hAnsi="Cambria"/>
                <w:b/>
                <w:lang w:val="en-GB"/>
              </w:rPr>
              <w:t>:</w:t>
            </w:r>
            <w:r w:rsidR="00E17148">
              <w:rPr>
                <w:rFonts w:ascii="Cambria" w:hAnsi="Cambria"/>
                <w:b/>
                <w:lang w:val="en-GB"/>
              </w:rPr>
              <w:t xml:space="preserve"> </w:t>
            </w:r>
          </w:p>
          <w:p w:rsidR="002E02A9" w:rsidRDefault="002E02A9" w:rsidP="00B854F0">
            <w:pPr>
              <w:jc w:val="both"/>
              <w:rPr>
                <w:rFonts w:ascii="Cambria" w:hAnsi="Cambria"/>
                <w:b/>
                <w:lang w:val="en-GB"/>
              </w:rPr>
            </w:pPr>
            <w:r>
              <w:rPr>
                <w:rFonts w:ascii="Cambria" w:hAnsi="Cambria"/>
                <w:b/>
                <w:lang w:val="en-GB"/>
              </w:rPr>
              <w:t xml:space="preserve">This sentences cannot be change. </w:t>
            </w:r>
          </w:p>
          <w:p w:rsidR="002E02A9" w:rsidRDefault="002E02A9" w:rsidP="00B854F0">
            <w:pPr>
              <w:jc w:val="both"/>
              <w:rPr>
                <w:rFonts w:ascii="Cambria" w:hAnsi="Cambria"/>
                <w:b/>
                <w:lang w:val="en-GB"/>
              </w:rPr>
            </w:pPr>
          </w:p>
          <w:p w:rsidR="002E02A9" w:rsidRPr="002E02A9" w:rsidRDefault="002E02A9" w:rsidP="002E02A9">
            <w:pPr>
              <w:jc w:val="both"/>
              <w:rPr>
                <w:rFonts w:ascii="Cambria" w:hAnsi="Cambria"/>
                <w:lang w:val="en-GB"/>
              </w:rPr>
            </w:pPr>
            <w:r>
              <w:rPr>
                <w:rFonts w:ascii="Cambria" w:hAnsi="Cambria"/>
                <w:b/>
                <w:lang w:val="en-GB"/>
              </w:rPr>
              <w:t>Example:</w:t>
            </w:r>
            <w:r w:rsidRPr="001208DE">
              <w:rPr>
                <w:sz w:val="24"/>
                <w:szCs w:val="24"/>
                <w:lang w:val="en-US"/>
              </w:rPr>
              <w:t xml:space="preserve"> </w:t>
            </w:r>
            <w:r w:rsidRPr="002E02A9">
              <w:rPr>
                <w:rFonts w:ascii="Cambria" w:hAnsi="Cambria"/>
                <w:lang w:val="en-GB"/>
              </w:rPr>
              <w:t>The first meeting of Safe School Leaders was hosted by AFAD and jointly organized with the United Nations Office for Disaster Risk Reduction (UNISDR) on 30-31 October in Istanbul. During the meeting, governments confirmed their commitment to the Worldwide Initiative for Safe Schools and their plans on safe school implementation and over the coming years and decade. Moreover, governments also committed to the development of a “Roadmap for the World Wide Initiative for Safe Schools-From Istanbul to Sendai and Beyond,” to be presented at the Third UN World Conference on Disaster Risk Reduction in March 2015 in Sendai. Turkey committed to support selected neighboring countries with technical expertise in the area of school safety.</w:t>
            </w:r>
          </w:p>
          <w:p w:rsidR="002E02A9" w:rsidRDefault="002E02A9" w:rsidP="00B854F0">
            <w:pPr>
              <w:jc w:val="both"/>
              <w:rPr>
                <w:rFonts w:ascii="Cambria" w:hAnsi="Cambria"/>
                <w:b/>
                <w:lang w:val="en-GB"/>
              </w:rPr>
            </w:pPr>
          </w:p>
          <w:p w:rsidR="002E02A9" w:rsidRPr="002E02A9" w:rsidRDefault="002E02A9" w:rsidP="002E02A9">
            <w:pPr>
              <w:autoSpaceDE w:val="0"/>
              <w:autoSpaceDN w:val="0"/>
              <w:adjustRightInd w:val="0"/>
              <w:rPr>
                <w:rFonts w:ascii="Cambria" w:hAnsi="Cambria"/>
                <w:lang w:val="en-GB"/>
              </w:rPr>
            </w:pPr>
            <w:r>
              <w:rPr>
                <w:rFonts w:ascii="Cambria" w:hAnsi="Cambria"/>
                <w:b/>
                <w:lang w:val="en-GB"/>
              </w:rPr>
              <w:t>Example:</w:t>
            </w:r>
            <w:r w:rsidRPr="002E02A9">
              <w:rPr>
                <w:rFonts w:ascii="Cambria" w:hAnsi="Cambria"/>
                <w:lang w:val="en-GB"/>
              </w:rPr>
              <w:t xml:space="preserve"> </w:t>
            </w:r>
            <w:r>
              <w:rPr>
                <w:rFonts w:ascii="Cambria" w:hAnsi="Cambria"/>
                <w:lang w:val="en-GB"/>
              </w:rPr>
              <w:t>After the 1999 earthquakes</w:t>
            </w:r>
            <w:proofErr w:type="gramStart"/>
            <w:r>
              <w:rPr>
                <w:rFonts w:ascii="Cambria" w:hAnsi="Cambria"/>
                <w:lang w:val="en-GB"/>
              </w:rPr>
              <w:t>,  Istanbul</w:t>
            </w:r>
            <w:proofErr w:type="gramEnd"/>
            <w:r>
              <w:rPr>
                <w:rFonts w:ascii="Cambria" w:hAnsi="Cambria"/>
                <w:lang w:val="en-GB"/>
              </w:rPr>
              <w:t xml:space="preserve"> Greater Municipality,  and the Government of Turkey  are both very determined and </w:t>
            </w:r>
            <w:r w:rsidRPr="002E02A9">
              <w:rPr>
                <w:rFonts w:ascii="Cambria" w:hAnsi="Cambria"/>
                <w:lang w:val="en-GB"/>
              </w:rPr>
              <w:t>commi</w:t>
            </w:r>
            <w:r>
              <w:rPr>
                <w:rFonts w:ascii="Cambria" w:hAnsi="Cambria"/>
                <w:lang w:val="en-GB"/>
              </w:rPr>
              <w:t xml:space="preserve">tted to initiate a  program for a better seismic  risk mitigation and emergency preparedness. After series of  </w:t>
            </w:r>
            <w:r w:rsidRPr="002E02A9">
              <w:rPr>
                <w:rFonts w:ascii="Cambria" w:hAnsi="Cambria"/>
                <w:lang w:val="en-GB"/>
              </w:rPr>
              <w:t xml:space="preserve">consultations with Turkish </w:t>
            </w:r>
          </w:p>
          <w:p w:rsidR="002E02A9" w:rsidRDefault="002E02A9" w:rsidP="002E02A9">
            <w:pPr>
              <w:autoSpaceDE w:val="0"/>
              <w:autoSpaceDN w:val="0"/>
              <w:adjustRightInd w:val="0"/>
              <w:rPr>
                <w:rFonts w:ascii="Cambria" w:hAnsi="Cambria"/>
                <w:b/>
                <w:lang w:val="en-GB"/>
              </w:rPr>
            </w:pPr>
            <w:r>
              <w:rPr>
                <w:rFonts w:ascii="Cambria" w:hAnsi="Cambria"/>
                <w:lang w:val="en-GB"/>
              </w:rPr>
              <w:t xml:space="preserve">Government Authorities at  the central and provincial  level in İstanbul, with local  authorities, finance  organizations, banks,  </w:t>
            </w:r>
            <w:r w:rsidRPr="002E02A9">
              <w:rPr>
                <w:rFonts w:ascii="Cambria" w:hAnsi="Cambria"/>
                <w:lang w:val="en-GB"/>
              </w:rPr>
              <w:t>u</w:t>
            </w:r>
            <w:r>
              <w:rPr>
                <w:rFonts w:ascii="Cambria" w:hAnsi="Cambria"/>
                <w:lang w:val="en-GB"/>
              </w:rPr>
              <w:t xml:space="preserve">niversities, experts, citizens,  the project titled  “İstanbul Seismic Risk  Mitigation and  Emergency Preparedness  _ISMEP_” have been formulated. The overall objective  of ISMEP project is to assist  the Government of Turkey  </w:t>
            </w:r>
            <w:r w:rsidRPr="002E02A9">
              <w:rPr>
                <w:rFonts w:ascii="Cambria" w:hAnsi="Cambria"/>
                <w:lang w:val="en-GB"/>
              </w:rPr>
              <w:t xml:space="preserve">in </w:t>
            </w:r>
            <w:r>
              <w:rPr>
                <w:rFonts w:ascii="Cambria" w:hAnsi="Cambria"/>
                <w:lang w:val="en-GB"/>
              </w:rPr>
              <w:t xml:space="preserve">mitigating the seismic risk  in Istanbul and to further  strengthen the capacity for  emergency preparedness  in order to save lives and  reduce social, economic and  financial impacts in the event  of future earthquakes.  The project basically has  </w:t>
            </w:r>
            <w:r w:rsidRPr="002E02A9">
              <w:rPr>
                <w:rFonts w:ascii="Cambria" w:hAnsi="Cambria"/>
                <w:lang w:val="en-GB"/>
              </w:rPr>
              <w:t xml:space="preserve">three </w:t>
            </w:r>
            <w:r>
              <w:rPr>
                <w:rFonts w:ascii="Cambria" w:hAnsi="Cambria"/>
                <w:lang w:val="en-GB"/>
              </w:rPr>
              <w:t xml:space="preserve">components; </w:t>
            </w:r>
            <w:r w:rsidRPr="002E02A9">
              <w:rPr>
                <w:rFonts w:ascii="Cambria" w:hAnsi="Cambria"/>
                <w:lang w:val="en-GB"/>
              </w:rPr>
              <w:t xml:space="preserve"> </w:t>
            </w:r>
            <w:r>
              <w:rPr>
                <w:rFonts w:ascii="Cambria" w:hAnsi="Cambria"/>
                <w:lang w:val="en-GB"/>
              </w:rPr>
              <w:t xml:space="preserve">strengthening the institutional  and technical capacity for  disaster management and  emergency response;  Seismic  retrofitting of critical public  facilities for higher  earthquake resistance;  developing a program </w:t>
            </w:r>
            <w:r w:rsidRPr="002E02A9">
              <w:rPr>
                <w:rFonts w:ascii="Cambria" w:hAnsi="Cambria"/>
                <w:lang w:val="en-GB"/>
              </w:rPr>
              <w:t>a</w:t>
            </w:r>
            <w:r>
              <w:rPr>
                <w:rFonts w:ascii="Cambria" w:hAnsi="Cambria"/>
                <w:lang w:val="en-GB"/>
              </w:rPr>
              <w:t xml:space="preserve">imed to reduce vulnerabilities  </w:t>
            </w:r>
            <w:r w:rsidRPr="002E02A9">
              <w:rPr>
                <w:rFonts w:ascii="Cambria" w:hAnsi="Cambria"/>
                <w:lang w:val="en-GB"/>
              </w:rPr>
              <w:t>of residential buildings.</w:t>
            </w:r>
            <w:r>
              <w:rPr>
                <w:rFonts w:ascii="Cambria" w:hAnsi="Cambria"/>
                <w:b/>
                <w:lang w:val="en-GB"/>
              </w:rPr>
              <w:t xml:space="preserve"> </w:t>
            </w:r>
          </w:p>
          <w:p w:rsidR="002E02A9" w:rsidRPr="002E02A9" w:rsidRDefault="002E02A9" w:rsidP="002E02A9">
            <w:pPr>
              <w:autoSpaceDE w:val="0"/>
              <w:autoSpaceDN w:val="0"/>
              <w:adjustRightInd w:val="0"/>
              <w:rPr>
                <w:rFonts w:ascii="Cambria" w:hAnsi="Cambria"/>
                <w:lang w:val="en-GB"/>
              </w:rPr>
            </w:pPr>
          </w:p>
        </w:tc>
      </w:tr>
      <w:tr w:rsidR="00D80061" w:rsidRPr="007978BB" w:rsidTr="004E1D5D">
        <w:trPr>
          <w:trHeight w:val="1063"/>
        </w:trPr>
        <w:tc>
          <w:tcPr>
            <w:tcW w:w="2223" w:type="dxa"/>
            <w:tcBorders>
              <w:bottom w:val="double" w:sz="4" w:space="0" w:color="auto"/>
              <w:right w:val="double" w:sz="4" w:space="0" w:color="auto"/>
            </w:tcBorders>
            <w:shd w:val="clear" w:color="auto" w:fill="E7E6E6" w:themeFill="background2"/>
          </w:tcPr>
          <w:p w:rsidR="00D80061" w:rsidRPr="007978BB" w:rsidRDefault="00D80061" w:rsidP="00D322D7">
            <w:pPr>
              <w:rPr>
                <w:rFonts w:ascii="Cambria" w:hAnsi="Cambria"/>
                <w:b/>
                <w:lang w:val="en-GB"/>
              </w:rPr>
            </w:pPr>
          </w:p>
        </w:tc>
        <w:tc>
          <w:tcPr>
            <w:tcW w:w="13512" w:type="dxa"/>
            <w:tcBorders>
              <w:left w:val="double" w:sz="4" w:space="0" w:color="auto"/>
              <w:bottom w:val="double" w:sz="4" w:space="0" w:color="auto"/>
            </w:tcBorders>
          </w:tcPr>
          <w:p w:rsidR="00D80061" w:rsidRPr="007978BB" w:rsidRDefault="00D80061" w:rsidP="00B854F0">
            <w:pPr>
              <w:jc w:val="both"/>
              <w:rPr>
                <w:rFonts w:ascii="Cambria" w:hAnsi="Cambria"/>
                <w:b/>
                <w:lang w:val="en-GB"/>
              </w:rPr>
            </w:pPr>
            <w:r w:rsidRPr="007978BB">
              <w:rPr>
                <w:rFonts w:ascii="Cambria" w:hAnsi="Cambria"/>
                <w:b/>
                <w:lang w:val="en-GB"/>
              </w:rPr>
              <w:t>Point 28 / e:</w:t>
            </w:r>
          </w:p>
          <w:p w:rsidR="00D80061" w:rsidRPr="007978BB" w:rsidRDefault="00D80061" w:rsidP="00B854F0">
            <w:pPr>
              <w:jc w:val="both"/>
              <w:rPr>
                <w:rFonts w:ascii="Cambria" w:hAnsi="Cambria"/>
                <w:lang w:val="en-GB"/>
              </w:rPr>
            </w:pPr>
            <w:r w:rsidRPr="007978BB">
              <w:rPr>
                <w:rFonts w:ascii="Cambria" w:hAnsi="Cambria"/>
                <w:lang w:val="en-GB"/>
              </w:rPr>
              <w:t xml:space="preserve">To emphasize, briefly, importance of supporting rural livelihoods and in-situ employment to avoid or lessen migration to urban areas in developing countries, leading to rapid, unplanned and informal settlements, thus increasing vulnerability. </w:t>
            </w:r>
          </w:p>
          <w:p w:rsidR="00D80061" w:rsidRPr="007978BB" w:rsidRDefault="00D80061" w:rsidP="00B854F0">
            <w:pPr>
              <w:jc w:val="both"/>
              <w:rPr>
                <w:rFonts w:ascii="Cambria" w:hAnsi="Cambria"/>
                <w:b/>
                <w:lang w:val="en-GB"/>
              </w:rPr>
            </w:pPr>
          </w:p>
        </w:tc>
      </w:tr>
      <w:tr w:rsidR="00D80061" w:rsidRPr="007978BB" w:rsidTr="004E1D5D">
        <w:trPr>
          <w:trHeight w:val="999"/>
        </w:trPr>
        <w:tc>
          <w:tcPr>
            <w:tcW w:w="2223" w:type="dxa"/>
            <w:tcBorders>
              <w:bottom w:val="double" w:sz="4" w:space="0" w:color="auto"/>
              <w:right w:val="double" w:sz="4" w:space="0" w:color="auto"/>
            </w:tcBorders>
            <w:shd w:val="clear" w:color="auto" w:fill="E7E6E6" w:themeFill="background2"/>
          </w:tcPr>
          <w:p w:rsidR="00D80061" w:rsidRPr="007978BB" w:rsidRDefault="00D80061" w:rsidP="00D322D7">
            <w:pPr>
              <w:rPr>
                <w:rFonts w:ascii="Cambria" w:hAnsi="Cambria"/>
                <w:b/>
                <w:lang w:val="en-GB"/>
              </w:rPr>
            </w:pPr>
          </w:p>
        </w:tc>
        <w:tc>
          <w:tcPr>
            <w:tcW w:w="13512" w:type="dxa"/>
            <w:tcBorders>
              <w:left w:val="double" w:sz="4" w:space="0" w:color="auto"/>
              <w:bottom w:val="double" w:sz="4" w:space="0" w:color="auto"/>
            </w:tcBorders>
          </w:tcPr>
          <w:p w:rsidR="00D80061" w:rsidRPr="007978BB" w:rsidRDefault="00D80061" w:rsidP="007978BB">
            <w:pPr>
              <w:jc w:val="both"/>
              <w:rPr>
                <w:rFonts w:ascii="Cambria" w:hAnsi="Cambria"/>
                <w:b/>
                <w:lang w:val="en-GB"/>
              </w:rPr>
            </w:pPr>
            <w:r w:rsidRPr="007978BB">
              <w:rPr>
                <w:rFonts w:ascii="Cambria" w:hAnsi="Cambria"/>
                <w:b/>
                <w:lang w:val="en-GB"/>
              </w:rPr>
              <w:t>Point 30:</w:t>
            </w:r>
          </w:p>
          <w:p w:rsidR="00D80061" w:rsidRPr="007978BB" w:rsidRDefault="00D80061" w:rsidP="007978BB">
            <w:pPr>
              <w:jc w:val="both"/>
              <w:rPr>
                <w:rFonts w:ascii="Cambria" w:hAnsi="Cambria"/>
                <w:lang w:val="en-GB"/>
              </w:rPr>
            </w:pPr>
            <w:r w:rsidRPr="007978BB">
              <w:rPr>
                <w:rFonts w:ascii="Cambria" w:hAnsi="Cambria"/>
                <w:lang w:val="en-GB"/>
              </w:rPr>
              <w:t xml:space="preserve">To integrate, briefly, response preparedness, recovery and reconstruction planning with disaster risk reduction and sustainable development planning and processes. </w:t>
            </w:r>
          </w:p>
          <w:p w:rsidR="00D80061" w:rsidRPr="007978BB" w:rsidRDefault="00D80061" w:rsidP="00B854F0">
            <w:pPr>
              <w:jc w:val="both"/>
              <w:rPr>
                <w:rFonts w:ascii="Cambria" w:hAnsi="Cambria"/>
                <w:b/>
                <w:lang w:val="en-GB"/>
              </w:rPr>
            </w:pPr>
          </w:p>
        </w:tc>
      </w:tr>
      <w:tr w:rsidR="00D80061" w:rsidRPr="007978BB" w:rsidTr="004E1D5D">
        <w:trPr>
          <w:trHeight w:val="921"/>
        </w:trPr>
        <w:tc>
          <w:tcPr>
            <w:tcW w:w="2223" w:type="dxa"/>
            <w:tcBorders>
              <w:bottom w:val="double" w:sz="4" w:space="0" w:color="auto"/>
              <w:right w:val="double" w:sz="4" w:space="0" w:color="auto"/>
            </w:tcBorders>
            <w:shd w:val="clear" w:color="auto" w:fill="E7E6E6" w:themeFill="background2"/>
          </w:tcPr>
          <w:p w:rsidR="00D80061" w:rsidRPr="007978BB" w:rsidRDefault="00D80061" w:rsidP="00D322D7">
            <w:pPr>
              <w:rPr>
                <w:rFonts w:ascii="Cambria" w:hAnsi="Cambria"/>
                <w:b/>
                <w:lang w:val="en-GB"/>
              </w:rPr>
            </w:pPr>
          </w:p>
        </w:tc>
        <w:tc>
          <w:tcPr>
            <w:tcW w:w="13512" w:type="dxa"/>
            <w:tcBorders>
              <w:left w:val="double" w:sz="4" w:space="0" w:color="auto"/>
              <w:bottom w:val="double" w:sz="4" w:space="0" w:color="auto"/>
            </w:tcBorders>
          </w:tcPr>
          <w:p w:rsidR="00D80061" w:rsidRPr="007978BB" w:rsidRDefault="00D80061" w:rsidP="007978BB">
            <w:pPr>
              <w:jc w:val="both"/>
              <w:rPr>
                <w:rFonts w:ascii="Cambria" w:hAnsi="Cambria"/>
                <w:b/>
                <w:lang w:val="en-GB"/>
              </w:rPr>
            </w:pPr>
            <w:r w:rsidRPr="007978BB">
              <w:rPr>
                <w:rFonts w:ascii="Cambria" w:hAnsi="Cambria"/>
                <w:b/>
                <w:lang w:val="en-GB"/>
              </w:rPr>
              <w:t>Point 31 / b:</w:t>
            </w:r>
          </w:p>
          <w:p w:rsidR="00D80061" w:rsidRPr="007978BB" w:rsidRDefault="00D80061" w:rsidP="007978BB">
            <w:pPr>
              <w:jc w:val="both"/>
              <w:rPr>
                <w:rFonts w:ascii="Cambria" w:hAnsi="Cambria"/>
                <w:lang w:val="en-GB"/>
              </w:rPr>
            </w:pPr>
            <w:r w:rsidRPr="007978BB">
              <w:rPr>
                <w:rFonts w:ascii="Cambria" w:hAnsi="Cambria"/>
                <w:lang w:val="en-GB"/>
              </w:rPr>
              <w:t xml:space="preserve">Additional statement: </w:t>
            </w:r>
            <w:r w:rsidRPr="007978BB">
              <w:rPr>
                <w:rFonts w:ascii="Cambria" w:hAnsi="Cambria"/>
                <w:i/>
                <w:lang w:val="en-GB"/>
              </w:rPr>
              <w:t>b) …; support investments to increase efficiency of forecast and early warning activities</w:t>
            </w:r>
            <w:r w:rsidRPr="007978BB">
              <w:rPr>
                <w:rFonts w:ascii="Cambria" w:hAnsi="Cambria"/>
                <w:lang w:val="en-GB"/>
              </w:rPr>
              <w:t>.</w:t>
            </w:r>
          </w:p>
          <w:p w:rsidR="00D80061" w:rsidRPr="007978BB" w:rsidRDefault="00D80061" w:rsidP="00B854F0">
            <w:pPr>
              <w:jc w:val="both"/>
              <w:rPr>
                <w:rFonts w:ascii="Cambria" w:hAnsi="Cambria"/>
                <w:b/>
                <w:lang w:val="en-GB"/>
              </w:rPr>
            </w:pPr>
          </w:p>
        </w:tc>
      </w:tr>
      <w:tr w:rsidR="00D80061" w:rsidRPr="007978BB" w:rsidTr="004E1D5D">
        <w:trPr>
          <w:trHeight w:val="1455"/>
        </w:trPr>
        <w:tc>
          <w:tcPr>
            <w:tcW w:w="2223" w:type="dxa"/>
            <w:tcBorders>
              <w:bottom w:val="double" w:sz="4" w:space="0" w:color="auto"/>
              <w:right w:val="double" w:sz="4" w:space="0" w:color="auto"/>
            </w:tcBorders>
            <w:shd w:val="clear" w:color="auto" w:fill="E7E6E6" w:themeFill="background2"/>
          </w:tcPr>
          <w:p w:rsidR="00D80061" w:rsidRPr="007978BB" w:rsidRDefault="00D80061" w:rsidP="00D322D7">
            <w:pPr>
              <w:rPr>
                <w:rFonts w:ascii="Cambria" w:hAnsi="Cambria"/>
                <w:b/>
                <w:lang w:val="en-GB"/>
              </w:rPr>
            </w:pPr>
          </w:p>
        </w:tc>
        <w:tc>
          <w:tcPr>
            <w:tcW w:w="13512" w:type="dxa"/>
            <w:tcBorders>
              <w:left w:val="double" w:sz="4" w:space="0" w:color="auto"/>
              <w:bottom w:val="double" w:sz="4" w:space="0" w:color="auto"/>
            </w:tcBorders>
          </w:tcPr>
          <w:p w:rsidR="00D80061" w:rsidRPr="007978BB" w:rsidRDefault="00D80061" w:rsidP="007978BB">
            <w:pPr>
              <w:jc w:val="both"/>
              <w:rPr>
                <w:rFonts w:ascii="Cambria" w:hAnsi="Cambria"/>
                <w:b/>
                <w:lang w:val="en-GB"/>
              </w:rPr>
            </w:pPr>
            <w:r w:rsidRPr="007978BB">
              <w:rPr>
                <w:rFonts w:ascii="Cambria" w:hAnsi="Cambria"/>
                <w:b/>
                <w:lang w:val="en-GB"/>
              </w:rPr>
              <w:t>Point 32/c:</w:t>
            </w:r>
          </w:p>
          <w:p w:rsidR="00D80061" w:rsidRPr="004E1D5D" w:rsidRDefault="00D80061" w:rsidP="007978BB">
            <w:pPr>
              <w:jc w:val="both"/>
              <w:rPr>
                <w:rFonts w:ascii="Cambria" w:hAnsi="Cambria"/>
                <w:lang w:val="en-GB"/>
              </w:rPr>
            </w:pPr>
            <w:r w:rsidRPr="007978BB">
              <w:rPr>
                <w:rFonts w:ascii="Cambria" w:hAnsi="Cambria"/>
                <w:lang w:val="en-GB"/>
              </w:rPr>
              <w:t>To include monitoring systems toget</w:t>
            </w:r>
            <w:r w:rsidR="004E1D5D">
              <w:rPr>
                <w:rFonts w:ascii="Cambria" w:hAnsi="Cambria"/>
                <w:lang w:val="en-GB"/>
              </w:rPr>
              <w:t xml:space="preserve">her with early warning systems. </w:t>
            </w:r>
            <w:r w:rsidRPr="007978BB">
              <w:rPr>
                <w:rFonts w:ascii="Cambria" w:hAnsi="Cambria"/>
                <w:lang w:val="en-GB"/>
              </w:rPr>
              <w:t>Suggestion for</w:t>
            </w:r>
            <w:r w:rsidR="004E1D5D">
              <w:rPr>
                <w:rFonts w:ascii="Cambria" w:hAnsi="Cambria"/>
                <w:lang w:val="en-GB"/>
              </w:rPr>
              <w:t xml:space="preserve"> rephrasing of the paragraph c: </w:t>
            </w:r>
            <w:r w:rsidRPr="007978BB">
              <w:rPr>
                <w:rFonts w:ascii="Cambria" w:hAnsi="Cambria"/>
                <w:i/>
                <w:lang w:val="en-GB"/>
              </w:rPr>
              <w:t>"Promote the further development of effective regional monitoring and early warning mechanisms to ensure that information is shared and acted on across all relevant countries".</w:t>
            </w:r>
          </w:p>
          <w:p w:rsidR="00D80061" w:rsidRPr="007978BB" w:rsidRDefault="00D80061" w:rsidP="00B854F0">
            <w:pPr>
              <w:jc w:val="both"/>
              <w:rPr>
                <w:rFonts w:ascii="Cambria" w:hAnsi="Cambria"/>
                <w:b/>
                <w:lang w:val="en-GB"/>
              </w:rPr>
            </w:pPr>
          </w:p>
        </w:tc>
      </w:tr>
    </w:tbl>
    <w:p w:rsidR="007D184C" w:rsidRPr="007978BB" w:rsidRDefault="007D184C" w:rsidP="00294E7F">
      <w:pPr>
        <w:tabs>
          <w:tab w:val="left" w:pos="3043"/>
        </w:tabs>
      </w:pPr>
    </w:p>
    <w:sectPr w:rsidR="007D184C" w:rsidRPr="007978BB" w:rsidSect="00265DFF">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C39" w:rsidRDefault="00DA3C39" w:rsidP="00294E7F">
      <w:pPr>
        <w:spacing w:after="0" w:line="240" w:lineRule="auto"/>
      </w:pPr>
      <w:r>
        <w:separator/>
      </w:r>
    </w:p>
  </w:endnote>
  <w:endnote w:type="continuationSeparator" w:id="0">
    <w:p w:rsidR="00DA3C39" w:rsidRDefault="00DA3C39" w:rsidP="0029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C39" w:rsidRDefault="00DA3C39" w:rsidP="00294E7F">
      <w:pPr>
        <w:spacing w:after="0" w:line="240" w:lineRule="auto"/>
      </w:pPr>
      <w:r>
        <w:separator/>
      </w:r>
    </w:p>
  </w:footnote>
  <w:footnote w:type="continuationSeparator" w:id="0">
    <w:p w:rsidR="00DA3C39" w:rsidRDefault="00DA3C39" w:rsidP="00294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5D" w:rsidRPr="007C2AD7" w:rsidRDefault="004E1D5D" w:rsidP="004E1D5D">
    <w:pPr>
      <w:spacing w:after="0"/>
      <w:rPr>
        <w:rFonts w:ascii="Arial" w:hAnsi="Arial" w:cs="Arial"/>
        <w:noProof/>
        <w:sz w:val="20"/>
        <w:szCs w:val="20"/>
        <w:lang w:val="en-US"/>
      </w:rPr>
    </w:pPr>
    <w:r w:rsidRPr="007C2AD7">
      <w:rPr>
        <w:rFonts w:ascii="Arial" w:hAnsi="Arial" w:cs="Arial"/>
        <w:noProof/>
        <w:sz w:val="20"/>
        <w:szCs w:val="20"/>
        <w:lang w:eastAsia="tr-TR"/>
      </w:rPr>
      <w:drawing>
        <wp:anchor distT="0" distB="0" distL="114300" distR="114300" simplePos="0" relativeHeight="251659264" behindDoc="1" locked="0" layoutInCell="1" allowOverlap="1" wp14:anchorId="5510FD16" wp14:editId="07CA21CB">
          <wp:simplePos x="0" y="0"/>
          <wp:positionH relativeFrom="column">
            <wp:posOffset>-18415</wp:posOffset>
          </wp:positionH>
          <wp:positionV relativeFrom="paragraph">
            <wp:posOffset>-287655</wp:posOffset>
          </wp:positionV>
          <wp:extent cx="1062990" cy="793115"/>
          <wp:effectExtent l="19050" t="0" r="3810" b="0"/>
          <wp:wrapTight wrapText="bothSides">
            <wp:wrapPolygon edited="0">
              <wp:start x="-387" y="0"/>
              <wp:lineTo x="-387" y="21271"/>
              <wp:lineTo x="21677" y="21271"/>
              <wp:lineTo x="21677" y="0"/>
              <wp:lineTo x="-387" y="0"/>
            </wp:wrapPolygon>
          </wp:wrapTight>
          <wp:docPr id="2" name="irc_mi" descr="https://www.afad.gov.tr/Resim/TR/Galeri/4-2012092913303-af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afad.gov.tr/Resim/TR/Galeri/4-2012092913303-afad1.jpg"/>
                  <pic:cNvPicPr>
                    <a:picLocks noChangeAspect="1" noChangeArrowheads="1"/>
                  </pic:cNvPicPr>
                </pic:nvPicPr>
                <pic:blipFill>
                  <a:blip r:embed="rId1" cstate="print"/>
                  <a:srcRect/>
                  <a:stretch>
                    <a:fillRect/>
                  </a:stretch>
                </pic:blipFill>
                <pic:spPr bwMode="auto">
                  <a:xfrm>
                    <a:off x="0" y="0"/>
                    <a:ext cx="1062990" cy="793115"/>
                  </a:xfrm>
                  <a:prstGeom prst="rect">
                    <a:avLst/>
                  </a:prstGeom>
                  <a:noFill/>
                  <a:ln w="9525">
                    <a:noFill/>
                    <a:miter lim="800000"/>
                    <a:headEnd/>
                    <a:tailEnd/>
                  </a:ln>
                </pic:spPr>
              </pic:pic>
            </a:graphicData>
          </a:graphic>
        </wp:anchor>
      </w:drawing>
    </w:r>
  </w:p>
  <w:p w:rsidR="004E1D5D" w:rsidRPr="007C2AD7" w:rsidRDefault="004E1D5D" w:rsidP="004E1D5D">
    <w:pPr>
      <w:spacing w:after="0"/>
      <w:rPr>
        <w:rFonts w:ascii="Arial" w:hAnsi="Arial" w:cs="Arial"/>
        <w:noProof/>
        <w:sz w:val="20"/>
        <w:szCs w:val="20"/>
        <w:lang w:val="en-US"/>
      </w:rPr>
    </w:pPr>
  </w:p>
  <w:p w:rsidR="004E1D5D" w:rsidRPr="007C2AD7" w:rsidRDefault="004E1D5D" w:rsidP="004E1D5D">
    <w:pPr>
      <w:spacing w:after="0"/>
      <w:rPr>
        <w:rFonts w:ascii="Arial" w:hAnsi="Arial" w:cs="Arial"/>
        <w:noProof/>
        <w:sz w:val="20"/>
        <w:szCs w:val="20"/>
        <w:lang w:val="en-US"/>
      </w:rPr>
    </w:pPr>
  </w:p>
  <w:p w:rsidR="004E1D5D" w:rsidRPr="004E1D5D" w:rsidRDefault="004E1D5D" w:rsidP="004E1D5D">
    <w:pPr>
      <w:spacing w:after="0"/>
      <w:rPr>
        <w:rFonts w:ascii="Arial" w:hAnsi="Arial" w:cs="Arial"/>
        <w:noProof/>
        <w:szCs w:val="20"/>
        <w:lang w:val="en-US"/>
      </w:rPr>
    </w:pPr>
  </w:p>
  <w:p w:rsidR="004E1D5D" w:rsidRPr="004E1D5D" w:rsidRDefault="004E1D5D" w:rsidP="004E1D5D">
    <w:pPr>
      <w:spacing w:after="0"/>
      <w:rPr>
        <w:rFonts w:ascii="Arial" w:hAnsi="Arial" w:cs="Arial"/>
        <w:b/>
        <w:noProof/>
        <w:szCs w:val="18"/>
        <w:lang w:val="en-US"/>
      </w:rPr>
    </w:pPr>
    <w:r w:rsidRPr="004E1D5D">
      <w:rPr>
        <w:rFonts w:ascii="Arial" w:hAnsi="Arial" w:cs="Arial"/>
        <w:b/>
        <w:noProof/>
        <w:szCs w:val="18"/>
        <w:lang w:val="en-US"/>
      </w:rPr>
      <w:t xml:space="preserve">Republic of Turkey Prime </w:t>
    </w:r>
  </w:p>
  <w:p w:rsidR="004E1D5D" w:rsidRPr="004E1D5D" w:rsidRDefault="004E1D5D" w:rsidP="004E1D5D">
    <w:pPr>
      <w:spacing w:after="0"/>
      <w:rPr>
        <w:rFonts w:ascii="Arial" w:hAnsi="Arial" w:cs="Arial"/>
        <w:b/>
        <w:noProof/>
        <w:szCs w:val="18"/>
        <w:lang w:val="en-US"/>
      </w:rPr>
    </w:pPr>
    <w:r w:rsidRPr="004E1D5D">
      <w:rPr>
        <w:rFonts w:ascii="Arial" w:hAnsi="Arial" w:cs="Arial"/>
        <w:b/>
        <w:noProof/>
        <w:szCs w:val="18"/>
        <w:lang w:val="en-US"/>
      </w:rPr>
      <w:t>Ministry Disaster&amp;Emergency Management Presidency (AFAD)</w:t>
    </w:r>
  </w:p>
  <w:p w:rsidR="004E1D5D" w:rsidRPr="004E1D5D" w:rsidRDefault="004E1D5D" w:rsidP="004E1D5D">
    <w:pPr>
      <w:spacing w:after="0"/>
      <w:rPr>
        <w:rFonts w:ascii="Arial" w:hAnsi="Arial" w:cs="Arial"/>
        <w:noProof/>
        <w:szCs w:val="20"/>
        <w:lang w:val="en-US" w:eastAsia="tr-TR"/>
      </w:rPr>
    </w:pPr>
  </w:p>
  <w:p w:rsidR="004E1D5D" w:rsidRPr="004E1D5D" w:rsidRDefault="004E1D5D" w:rsidP="004E1D5D">
    <w:pPr>
      <w:spacing w:after="0"/>
      <w:jc w:val="center"/>
      <w:rPr>
        <w:rFonts w:ascii="Arial" w:hAnsi="Arial" w:cs="Arial"/>
        <w:b/>
        <w:noProof/>
        <w:sz w:val="28"/>
        <w:szCs w:val="20"/>
        <w:lang w:val="en-US"/>
      </w:rPr>
    </w:pPr>
    <w:r w:rsidRPr="004E1D5D">
      <w:rPr>
        <w:rFonts w:ascii="Arial" w:hAnsi="Arial" w:cs="Arial"/>
        <w:b/>
        <w:noProof/>
        <w:sz w:val="28"/>
        <w:szCs w:val="20"/>
        <w:lang w:val="en-US"/>
      </w:rPr>
      <w:t>Inputs/Comments on</w:t>
    </w:r>
  </w:p>
  <w:p w:rsidR="004E1D5D" w:rsidRPr="004E1D5D" w:rsidRDefault="004E1D5D" w:rsidP="004E1D5D">
    <w:pPr>
      <w:jc w:val="center"/>
      <w:rPr>
        <w:rStyle w:val="Gl"/>
        <w:rFonts w:ascii="Arial" w:hAnsi="Arial" w:cs="Arial"/>
        <w:noProof/>
        <w:sz w:val="28"/>
        <w:szCs w:val="20"/>
        <w:lang w:val="en-US"/>
      </w:rPr>
    </w:pPr>
    <w:r w:rsidRPr="004E1D5D">
      <w:rPr>
        <w:rStyle w:val="Gl"/>
        <w:rFonts w:ascii="Arial" w:hAnsi="Arial" w:cs="Arial"/>
        <w:noProof/>
        <w:sz w:val="28"/>
        <w:szCs w:val="20"/>
        <w:lang w:val="en-US"/>
      </w:rPr>
      <w:t>“Zero-Draft of the Post-2015 framework for disaster risk reduction”</w:t>
    </w:r>
  </w:p>
  <w:p w:rsidR="00F81816" w:rsidRPr="004E1D5D" w:rsidRDefault="00F81816" w:rsidP="004E1D5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F6037"/>
    <w:multiLevelType w:val="hybridMultilevel"/>
    <w:tmpl w:val="BC4C480E"/>
    <w:lvl w:ilvl="0" w:tplc="FD2C1F50">
      <w:start w:val="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4E90949"/>
    <w:multiLevelType w:val="hybridMultilevel"/>
    <w:tmpl w:val="3F1430F8"/>
    <w:lvl w:ilvl="0" w:tplc="9FB43220">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7EB62A7"/>
    <w:multiLevelType w:val="hybridMultilevel"/>
    <w:tmpl w:val="59B018A2"/>
    <w:lvl w:ilvl="0" w:tplc="409E74B8">
      <w:start w:val="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4140234"/>
    <w:multiLevelType w:val="hybridMultilevel"/>
    <w:tmpl w:val="DF64B3DC"/>
    <w:lvl w:ilvl="0" w:tplc="76BC651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12"/>
    <w:rsid w:val="00050B57"/>
    <w:rsid w:val="000702EF"/>
    <w:rsid w:val="00076BF3"/>
    <w:rsid w:val="00081B7D"/>
    <w:rsid w:val="00092FEA"/>
    <w:rsid w:val="00093E7A"/>
    <w:rsid w:val="000C2792"/>
    <w:rsid w:val="000C579D"/>
    <w:rsid w:val="00106346"/>
    <w:rsid w:val="00106FC3"/>
    <w:rsid w:val="00121708"/>
    <w:rsid w:val="0012466D"/>
    <w:rsid w:val="0015416B"/>
    <w:rsid w:val="00172291"/>
    <w:rsid w:val="0018142C"/>
    <w:rsid w:val="001C01C4"/>
    <w:rsid w:val="001F33CB"/>
    <w:rsid w:val="00207028"/>
    <w:rsid w:val="0022529A"/>
    <w:rsid w:val="0024607C"/>
    <w:rsid w:val="0026292D"/>
    <w:rsid w:val="00265DFF"/>
    <w:rsid w:val="00286CC7"/>
    <w:rsid w:val="00290B46"/>
    <w:rsid w:val="00294E7F"/>
    <w:rsid w:val="002E02A9"/>
    <w:rsid w:val="0034576D"/>
    <w:rsid w:val="0038548C"/>
    <w:rsid w:val="003B5ADA"/>
    <w:rsid w:val="003D0171"/>
    <w:rsid w:val="003E1526"/>
    <w:rsid w:val="004330C2"/>
    <w:rsid w:val="0044080D"/>
    <w:rsid w:val="00450CB0"/>
    <w:rsid w:val="00485A88"/>
    <w:rsid w:val="00485AD3"/>
    <w:rsid w:val="004B1EAC"/>
    <w:rsid w:val="004B2F20"/>
    <w:rsid w:val="004D2FD8"/>
    <w:rsid w:val="004D4197"/>
    <w:rsid w:val="004D7A87"/>
    <w:rsid w:val="004E1D5D"/>
    <w:rsid w:val="00560D89"/>
    <w:rsid w:val="00576903"/>
    <w:rsid w:val="005976EC"/>
    <w:rsid w:val="005A7E65"/>
    <w:rsid w:val="005B095E"/>
    <w:rsid w:val="005E05A6"/>
    <w:rsid w:val="005F319D"/>
    <w:rsid w:val="005F538E"/>
    <w:rsid w:val="00601184"/>
    <w:rsid w:val="00630905"/>
    <w:rsid w:val="006330AD"/>
    <w:rsid w:val="006425DD"/>
    <w:rsid w:val="00644563"/>
    <w:rsid w:val="0067435A"/>
    <w:rsid w:val="006B1365"/>
    <w:rsid w:val="006C1BBF"/>
    <w:rsid w:val="006D18B3"/>
    <w:rsid w:val="006D288E"/>
    <w:rsid w:val="007312C4"/>
    <w:rsid w:val="00734586"/>
    <w:rsid w:val="00767C1F"/>
    <w:rsid w:val="00781E7A"/>
    <w:rsid w:val="0079014B"/>
    <w:rsid w:val="007978BB"/>
    <w:rsid w:val="007B56B4"/>
    <w:rsid w:val="007B7B0F"/>
    <w:rsid w:val="007D184C"/>
    <w:rsid w:val="007D1C83"/>
    <w:rsid w:val="007D1D8F"/>
    <w:rsid w:val="00812CAD"/>
    <w:rsid w:val="00821E77"/>
    <w:rsid w:val="00833891"/>
    <w:rsid w:val="008815CD"/>
    <w:rsid w:val="008A0D93"/>
    <w:rsid w:val="008B7873"/>
    <w:rsid w:val="008F2E06"/>
    <w:rsid w:val="009054DC"/>
    <w:rsid w:val="00915413"/>
    <w:rsid w:val="00916D73"/>
    <w:rsid w:val="009358C8"/>
    <w:rsid w:val="0093612A"/>
    <w:rsid w:val="00950BAA"/>
    <w:rsid w:val="009512FA"/>
    <w:rsid w:val="009817D8"/>
    <w:rsid w:val="00997D33"/>
    <w:rsid w:val="009A7446"/>
    <w:rsid w:val="009B2494"/>
    <w:rsid w:val="009B6DA0"/>
    <w:rsid w:val="00A6438A"/>
    <w:rsid w:val="00A82FEF"/>
    <w:rsid w:val="00A911D8"/>
    <w:rsid w:val="00AA1F35"/>
    <w:rsid w:val="00AA2657"/>
    <w:rsid w:val="00AA4C83"/>
    <w:rsid w:val="00AC42E6"/>
    <w:rsid w:val="00AE75BE"/>
    <w:rsid w:val="00AF2813"/>
    <w:rsid w:val="00B06812"/>
    <w:rsid w:val="00B36EDA"/>
    <w:rsid w:val="00B42009"/>
    <w:rsid w:val="00B66FDC"/>
    <w:rsid w:val="00B7168F"/>
    <w:rsid w:val="00B71C87"/>
    <w:rsid w:val="00B854F0"/>
    <w:rsid w:val="00B87FC6"/>
    <w:rsid w:val="00B93D2A"/>
    <w:rsid w:val="00BA5B0A"/>
    <w:rsid w:val="00BA7CE0"/>
    <w:rsid w:val="00BC2AA3"/>
    <w:rsid w:val="00C15059"/>
    <w:rsid w:val="00C17270"/>
    <w:rsid w:val="00C22808"/>
    <w:rsid w:val="00C800EB"/>
    <w:rsid w:val="00CA274A"/>
    <w:rsid w:val="00CA6D6E"/>
    <w:rsid w:val="00CC4BB1"/>
    <w:rsid w:val="00CC7E39"/>
    <w:rsid w:val="00CF0391"/>
    <w:rsid w:val="00CF6D8A"/>
    <w:rsid w:val="00D042AA"/>
    <w:rsid w:val="00D11CC2"/>
    <w:rsid w:val="00D159F0"/>
    <w:rsid w:val="00D322D7"/>
    <w:rsid w:val="00D501D0"/>
    <w:rsid w:val="00D5611E"/>
    <w:rsid w:val="00D61753"/>
    <w:rsid w:val="00D63B81"/>
    <w:rsid w:val="00D74DFE"/>
    <w:rsid w:val="00D80061"/>
    <w:rsid w:val="00D82B43"/>
    <w:rsid w:val="00DA3C39"/>
    <w:rsid w:val="00DD0DE4"/>
    <w:rsid w:val="00DD4B34"/>
    <w:rsid w:val="00DE12D7"/>
    <w:rsid w:val="00DE714E"/>
    <w:rsid w:val="00DF5DA0"/>
    <w:rsid w:val="00E02817"/>
    <w:rsid w:val="00E15B20"/>
    <w:rsid w:val="00E17148"/>
    <w:rsid w:val="00E21D46"/>
    <w:rsid w:val="00E24964"/>
    <w:rsid w:val="00E35809"/>
    <w:rsid w:val="00E80968"/>
    <w:rsid w:val="00EA1453"/>
    <w:rsid w:val="00EB0EC3"/>
    <w:rsid w:val="00EC513E"/>
    <w:rsid w:val="00ED5EA5"/>
    <w:rsid w:val="00EF6E84"/>
    <w:rsid w:val="00F1725B"/>
    <w:rsid w:val="00F400D3"/>
    <w:rsid w:val="00F6532F"/>
    <w:rsid w:val="00F81816"/>
    <w:rsid w:val="00F94311"/>
    <w:rsid w:val="00FA4190"/>
    <w:rsid w:val="00FC7840"/>
    <w:rsid w:val="00FF0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8BB4D-0A9C-47A6-A88E-535F5633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4E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4E7F"/>
  </w:style>
  <w:style w:type="paragraph" w:styleId="Altbilgi">
    <w:name w:val="footer"/>
    <w:basedOn w:val="Normal"/>
    <w:link w:val="AltbilgiChar"/>
    <w:uiPriority w:val="99"/>
    <w:unhideWhenUsed/>
    <w:rsid w:val="00294E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4E7F"/>
  </w:style>
  <w:style w:type="table" w:styleId="TabloKlavuzu">
    <w:name w:val="Table Grid"/>
    <w:basedOn w:val="NormalTablo"/>
    <w:uiPriority w:val="39"/>
    <w:rsid w:val="00294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5">
    <w:name w:val="Plain Table 5"/>
    <w:basedOn w:val="NormalTablo"/>
    <w:uiPriority w:val="45"/>
    <w:rsid w:val="00294E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294E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eTablo7Renkli-Vurgu3">
    <w:name w:val="List Table 7 Colorful Accent 3"/>
    <w:basedOn w:val="NormalTablo"/>
    <w:uiPriority w:val="52"/>
    <w:rsid w:val="00294E7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1">
    <w:name w:val="Plain Table 1"/>
    <w:basedOn w:val="NormalTablo"/>
    <w:uiPriority w:val="41"/>
    <w:rsid w:val="00294E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997D33"/>
    <w:pPr>
      <w:ind w:left="720"/>
      <w:contextualSpacing/>
    </w:pPr>
  </w:style>
  <w:style w:type="paragraph" w:styleId="BalonMetni">
    <w:name w:val="Balloon Text"/>
    <w:basedOn w:val="Normal"/>
    <w:link w:val="BalonMetniChar"/>
    <w:uiPriority w:val="99"/>
    <w:semiHidden/>
    <w:unhideWhenUsed/>
    <w:rsid w:val="009054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54DC"/>
    <w:rPr>
      <w:rFonts w:ascii="Segoe UI" w:hAnsi="Segoe UI" w:cs="Segoe UI"/>
      <w:sz w:val="18"/>
      <w:szCs w:val="18"/>
    </w:rPr>
  </w:style>
  <w:style w:type="character" w:styleId="Gl">
    <w:name w:val="Strong"/>
    <w:basedOn w:val="VarsaylanParagrafYazTipi"/>
    <w:uiPriority w:val="22"/>
    <w:qFormat/>
    <w:rsid w:val="004E1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321A8-5C84-4A70-B7A6-1594D228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1794</Words>
  <Characters>10231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Yıldız</dc:creator>
  <cp:keywords/>
  <dc:description/>
  <cp:lastModifiedBy>cigdem tetik</cp:lastModifiedBy>
  <cp:revision>2</cp:revision>
  <cp:lastPrinted>2014-11-14T09:04:00Z</cp:lastPrinted>
  <dcterms:created xsi:type="dcterms:W3CDTF">2014-11-17T11:00:00Z</dcterms:created>
  <dcterms:modified xsi:type="dcterms:W3CDTF">2014-11-17T11:00:00Z</dcterms:modified>
</cp:coreProperties>
</file>